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30" w:rsidRDefault="00A311D8" w:rsidP="00C676B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HEPATO</w:t>
      </w:r>
      <w:r w:rsidR="00DD7730" w:rsidRPr="006D2D9D">
        <w:rPr>
          <w:rFonts w:ascii="Times New Roman" w:hAnsi="Times New Roman" w:cs="Times New Roman"/>
          <w:sz w:val="24"/>
          <w:szCs w:val="24"/>
        </w:rPr>
        <w:t>PROTECTIVE INFLUENCE</w:t>
      </w:r>
      <w:r w:rsidR="006D2D9D">
        <w:rPr>
          <w:rFonts w:ascii="Times New Roman" w:hAnsi="Times New Roman" w:cs="Times New Roman"/>
          <w:sz w:val="24"/>
          <w:szCs w:val="24"/>
        </w:rPr>
        <w:t>S OF MELATONIN</w:t>
      </w:r>
      <w:r w:rsidR="00D16745">
        <w:rPr>
          <w:rFonts w:ascii="Times New Roman" w:hAnsi="Times New Roman" w:cs="Times New Roman"/>
          <w:sz w:val="24"/>
          <w:szCs w:val="24"/>
        </w:rPr>
        <w:t xml:space="preserve"> ON THE LEVELS OF ANTIOXIDANTS AND LIPID PEROXIDATION</w:t>
      </w:r>
      <w:r w:rsidR="006D2D9D">
        <w:rPr>
          <w:rFonts w:ascii="Times New Roman" w:hAnsi="Times New Roman" w:cs="Times New Roman"/>
          <w:sz w:val="24"/>
          <w:szCs w:val="24"/>
        </w:rPr>
        <w:t xml:space="preserve"> IN HYPERAMMONEMIC</w:t>
      </w:r>
      <w:r w:rsidR="00B62416">
        <w:rPr>
          <w:rFonts w:ascii="Times New Roman" w:hAnsi="Times New Roman" w:cs="Times New Roman"/>
          <w:sz w:val="24"/>
          <w:szCs w:val="24"/>
        </w:rPr>
        <w:t xml:space="preserve"> </w:t>
      </w:r>
      <w:r w:rsidR="00FA586B">
        <w:rPr>
          <w:rFonts w:ascii="Times New Roman" w:hAnsi="Times New Roman" w:cs="Times New Roman"/>
          <w:sz w:val="24"/>
          <w:szCs w:val="24"/>
        </w:rPr>
        <w:t xml:space="preserve">WISTAR </w:t>
      </w:r>
      <w:r w:rsidR="00FA586B" w:rsidRPr="006D2D9D">
        <w:rPr>
          <w:rFonts w:ascii="Times New Roman" w:hAnsi="Times New Roman" w:cs="Times New Roman"/>
          <w:sz w:val="24"/>
          <w:szCs w:val="24"/>
        </w:rPr>
        <w:t>RATS</w:t>
      </w:r>
    </w:p>
    <w:p w:rsidR="00A22397" w:rsidRDefault="00FA586B" w:rsidP="00C676B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Peter </w:t>
      </w:r>
      <w:r w:rsidR="00A22397">
        <w:rPr>
          <w:rFonts w:ascii="Times New Roman" w:hAnsi="Times New Roman" w:cs="Times New Roman"/>
          <w:sz w:val="24"/>
          <w:szCs w:val="24"/>
        </w:rPr>
        <w:t>Jasmin Lena, Perumal Subramanian</w:t>
      </w:r>
    </w:p>
    <w:p w:rsidR="00A22397" w:rsidRDefault="00A22397" w:rsidP="00C676B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Perumal Subramanian, </w:t>
      </w:r>
      <w:r w:rsidR="00E71D17">
        <w:rPr>
          <w:rFonts w:ascii="Times New Roman" w:hAnsi="Times New Roman" w:cs="Times New Roman"/>
          <w:sz w:val="24"/>
          <w:szCs w:val="24"/>
        </w:rPr>
        <w:t>Department of B</w:t>
      </w:r>
      <w:r w:rsidR="00FA586B">
        <w:rPr>
          <w:rFonts w:ascii="Times New Roman" w:hAnsi="Times New Roman" w:cs="Times New Roman"/>
          <w:sz w:val="24"/>
          <w:szCs w:val="24"/>
        </w:rPr>
        <w:t xml:space="preserve">iochemistry, Faculty of Science, </w:t>
      </w:r>
      <w:proofErr w:type="spellStart"/>
      <w:r>
        <w:rPr>
          <w:rFonts w:ascii="Times New Roman" w:hAnsi="Times New Roman" w:cs="Times New Roman"/>
          <w:sz w:val="24"/>
          <w:szCs w:val="24"/>
        </w:rPr>
        <w:t>Annamalai</w:t>
      </w:r>
      <w:proofErr w:type="spellEnd"/>
      <w:r>
        <w:rPr>
          <w:rFonts w:ascii="Times New Roman" w:hAnsi="Times New Roman" w:cs="Times New Roman"/>
          <w:sz w:val="24"/>
          <w:szCs w:val="24"/>
        </w:rPr>
        <w:t xml:space="preserve"> University,</w:t>
      </w:r>
    </w:p>
    <w:p w:rsidR="00A22397" w:rsidRDefault="00A22397" w:rsidP="00C676BF">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Annamalainagar</w:t>
      </w:r>
      <w:proofErr w:type="spellEnd"/>
      <w:r>
        <w:rPr>
          <w:rFonts w:ascii="Times New Roman" w:hAnsi="Times New Roman" w:cs="Times New Roman"/>
          <w:sz w:val="24"/>
          <w:szCs w:val="24"/>
        </w:rPr>
        <w:t xml:space="preserve"> – 608002,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India</w:t>
      </w:r>
    </w:p>
    <w:p w:rsidR="00A22397" w:rsidRPr="006D2D9D" w:rsidRDefault="00A22397" w:rsidP="00C676B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852233">
        <w:rPr>
          <w:rFonts w:ascii="Times New Roman" w:hAnsi="Times New Roman" w:cs="Times New Roman"/>
          <w:sz w:val="24"/>
          <w:szCs w:val="24"/>
        </w:rPr>
        <w:t>ABSTRACT</w:t>
      </w:r>
    </w:p>
    <w:p w:rsidR="00DD7730" w:rsidRPr="006D2D9D" w:rsidRDefault="00DD7730" w:rsidP="00C676BF">
      <w:pPr>
        <w:widowControl w:val="0"/>
        <w:autoSpaceDE w:val="0"/>
        <w:autoSpaceDN w:val="0"/>
        <w:adjustRightInd w:val="0"/>
        <w:jc w:val="both"/>
        <w:rPr>
          <w:rFonts w:ascii="Times New Roman" w:hAnsi="Times New Roman" w:cs="Times New Roman"/>
          <w:sz w:val="24"/>
          <w:szCs w:val="24"/>
        </w:rPr>
      </w:pPr>
      <w:r w:rsidRPr="006D2D9D">
        <w:rPr>
          <w:rFonts w:ascii="Times New Roman" w:hAnsi="Times New Roman" w:cs="Times New Roman"/>
          <w:color w:val="000000"/>
          <w:sz w:val="24"/>
          <w:szCs w:val="24"/>
          <w:highlight w:val="white"/>
        </w:rPr>
        <w:t>The antioxidant potential of mel</w:t>
      </w:r>
      <w:r w:rsidR="00FA586B">
        <w:rPr>
          <w:rFonts w:ascii="Times New Roman" w:hAnsi="Times New Roman" w:cs="Times New Roman"/>
          <w:color w:val="000000"/>
          <w:sz w:val="24"/>
          <w:szCs w:val="24"/>
          <w:highlight w:val="white"/>
        </w:rPr>
        <w:t xml:space="preserve">atonin (MLT) on </w:t>
      </w:r>
      <w:proofErr w:type="spellStart"/>
      <w:r w:rsidR="00FA586B">
        <w:rPr>
          <w:rFonts w:ascii="Times New Roman" w:hAnsi="Times New Roman" w:cs="Times New Roman"/>
          <w:color w:val="000000"/>
          <w:sz w:val="24"/>
          <w:szCs w:val="24"/>
          <w:highlight w:val="white"/>
        </w:rPr>
        <w:t>hyperammonemia</w:t>
      </w:r>
      <w:proofErr w:type="spellEnd"/>
      <w:r w:rsidR="00FA586B">
        <w:rPr>
          <w:rFonts w:ascii="Times New Roman" w:hAnsi="Times New Roman" w:cs="Times New Roman"/>
          <w:color w:val="000000"/>
          <w:sz w:val="24"/>
          <w:szCs w:val="24"/>
          <w:highlight w:val="white"/>
        </w:rPr>
        <w:t xml:space="preserve"> induced by ammonium acetate treatment </w:t>
      </w:r>
      <w:r w:rsidR="00FA586B" w:rsidRPr="006D2D9D">
        <w:rPr>
          <w:rFonts w:ascii="Times New Roman" w:hAnsi="Times New Roman" w:cs="Times New Roman"/>
          <w:color w:val="000000"/>
          <w:sz w:val="24"/>
          <w:szCs w:val="24"/>
          <w:highlight w:val="white"/>
        </w:rPr>
        <w:t>was</w:t>
      </w:r>
      <w:r w:rsidRPr="006D2D9D">
        <w:rPr>
          <w:rFonts w:ascii="Times New Roman" w:hAnsi="Times New Roman" w:cs="Times New Roman"/>
          <w:color w:val="000000"/>
          <w:sz w:val="24"/>
          <w:szCs w:val="24"/>
          <w:highlight w:val="white"/>
        </w:rPr>
        <w:t xml:space="preserve"> studied in rats</w:t>
      </w:r>
      <w:r w:rsidR="00FA586B" w:rsidRPr="006D2D9D">
        <w:rPr>
          <w:rFonts w:ascii="Times New Roman" w:hAnsi="Times New Roman" w:cs="Times New Roman"/>
          <w:color w:val="000000"/>
          <w:sz w:val="24"/>
          <w:szCs w:val="24"/>
          <w:highlight w:val="white"/>
        </w:rPr>
        <w:t>.</w:t>
      </w:r>
      <w:r w:rsidR="00AE023E">
        <w:rPr>
          <w:rFonts w:ascii="Times New Roman" w:hAnsi="Times New Roman" w:cs="Times New Roman"/>
          <w:color w:val="000000"/>
          <w:sz w:val="24"/>
          <w:szCs w:val="24"/>
          <w:highlight w:val="white"/>
        </w:rPr>
        <w:t xml:space="preserve"> In liver</w:t>
      </w:r>
      <w:r w:rsidR="00573211">
        <w:rPr>
          <w:rFonts w:ascii="Times New Roman" w:hAnsi="Times New Roman" w:cs="Times New Roman"/>
          <w:color w:val="000000"/>
          <w:sz w:val="24"/>
          <w:szCs w:val="24"/>
          <w:highlight w:val="white"/>
        </w:rPr>
        <w:t xml:space="preserve"> tissue</w:t>
      </w:r>
      <w:r w:rsidR="005D218E">
        <w:rPr>
          <w:rFonts w:ascii="Times New Roman" w:hAnsi="Times New Roman" w:cs="Times New Roman"/>
          <w:color w:val="000000"/>
          <w:sz w:val="24"/>
          <w:szCs w:val="24"/>
          <w:highlight w:val="white"/>
        </w:rPr>
        <w:t>,</w:t>
      </w:r>
      <w:r w:rsidRPr="006D2D9D">
        <w:rPr>
          <w:rFonts w:ascii="Times New Roman" w:hAnsi="Times New Roman" w:cs="Times New Roman"/>
          <w:color w:val="000000"/>
          <w:sz w:val="24"/>
          <w:szCs w:val="24"/>
          <w:highlight w:val="white"/>
        </w:rPr>
        <w:t xml:space="preserve"> the levels of </w:t>
      </w:r>
      <w:proofErr w:type="spellStart"/>
      <w:r w:rsidRPr="006D2D9D">
        <w:rPr>
          <w:rFonts w:ascii="Times New Roman" w:hAnsi="Times New Roman" w:cs="Times New Roman"/>
          <w:color w:val="000000"/>
          <w:sz w:val="24"/>
          <w:szCs w:val="24"/>
          <w:highlight w:val="white"/>
        </w:rPr>
        <w:t>thiobarbituric</w:t>
      </w:r>
      <w:proofErr w:type="spellEnd"/>
      <w:r w:rsidRPr="006D2D9D">
        <w:rPr>
          <w:rFonts w:ascii="Times New Roman" w:hAnsi="Times New Roman" w:cs="Times New Roman"/>
          <w:color w:val="000000"/>
          <w:sz w:val="24"/>
          <w:szCs w:val="24"/>
          <w:highlight w:val="white"/>
        </w:rPr>
        <w:t xml:space="preserve"> acid reactive substances and lipid profile variables </w:t>
      </w:r>
      <w:r w:rsidR="005D218E">
        <w:rPr>
          <w:rFonts w:ascii="Times New Roman" w:hAnsi="Times New Roman" w:cs="Times New Roman"/>
          <w:color w:val="000000"/>
          <w:sz w:val="24"/>
          <w:szCs w:val="24"/>
          <w:highlight w:val="white"/>
        </w:rPr>
        <w:t>was observed   to be increased significantly in ammonium acetate treated rats and decreased significantly</w:t>
      </w:r>
      <w:r w:rsidR="008B316B">
        <w:rPr>
          <w:rFonts w:ascii="Times New Roman" w:hAnsi="Times New Roman" w:cs="Times New Roman"/>
          <w:color w:val="000000"/>
          <w:sz w:val="24"/>
          <w:szCs w:val="24"/>
          <w:highlight w:val="white"/>
        </w:rPr>
        <w:t xml:space="preserve"> in rats treated with melatonin and ammonium acetate.</w:t>
      </w:r>
      <w:r w:rsidR="005D218E">
        <w:rPr>
          <w:rFonts w:ascii="Times New Roman" w:hAnsi="Times New Roman" w:cs="Times New Roman"/>
          <w:color w:val="000000"/>
          <w:sz w:val="24"/>
          <w:szCs w:val="24"/>
          <w:highlight w:val="white"/>
        </w:rPr>
        <w:t xml:space="preserve"> </w:t>
      </w:r>
      <w:r w:rsidR="00FA586B">
        <w:rPr>
          <w:rFonts w:ascii="Times New Roman" w:hAnsi="Times New Roman" w:cs="Times New Roman"/>
          <w:color w:val="000000"/>
          <w:sz w:val="24"/>
          <w:szCs w:val="24"/>
          <w:highlight w:val="white"/>
        </w:rPr>
        <w:t xml:space="preserve"> Further, enzymatic, </w:t>
      </w:r>
      <w:r w:rsidRPr="006D2D9D">
        <w:rPr>
          <w:rFonts w:ascii="Times New Roman" w:hAnsi="Times New Roman" w:cs="Times New Roman"/>
          <w:color w:val="000000"/>
          <w:sz w:val="24"/>
          <w:szCs w:val="24"/>
          <w:highlight w:val="white"/>
        </w:rPr>
        <w:t>superoxide dismutase, catal</w:t>
      </w:r>
      <w:r w:rsidR="00FA586B">
        <w:rPr>
          <w:rFonts w:ascii="Times New Roman" w:hAnsi="Times New Roman" w:cs="Times New Roman"/>
          <w:color w:val="000000"/>
          <w:sz w:val="24"/>
          <w:szCs w:val="24"/>
          <w:highlight w:val="white"/>
        </w:rPr>
        <w:t xml:space="preserve">ase and glutathione peroxidase and non-enzymatic, reduced glutathione </w:t>
      </w:r>
      <w:r w:rsidRPr="006D2D9D">
        <w:rPr>
          <w:rFonts w:ascii="Times New Roman" w:hAnsi="Times New Roman" w:cs="Times New Roman"/>
          <w:color w:val="000000"/>
          <w:sz w:val="24"/>
          <w:szCs w:val="24"/>
          <w:highlight w:val="white"/>
        </w:rPr>
        <w:t xml:space="preserve">antioxidants </w:t>
      </w:r>
      <w:r w:rsidR="003D2D81">
        <w:rPr>
          <w:rFonts w:ascii="Times New Roman" w:hAnsi="Times New Roman" w:cs="Times New Roman"/>
          <w:color w:val="000000"/>
          <w:sz w:val="24"/>
          <w:szCs w:val="24"/>
          <w:highlight w:val="white"/>
        </w:rPr>
        <w:t>in liver</w:t>
      </w:r>
      <w:r w:rsidRPr="006D2D9D">
        <w:rPr>
          <w:rFonts w:ascii="Times New Roman" w:hAnsi="Times New Roman" w:cs="Times New Roman"/>
          <w:color w:val="000000"/>
          <w:sz w:val="24"/>
          <w:szCs w:val="24"/>
          <w:highlight w:val="white"/>
        </w:rPr>
        <w:t xml:space="preserve"> tissues decreased significantly in ammonium acetate treated rats and increased significantly in rats treated with melatonin and ammonium acetate. These biochemical alterations could be due to the ability of melatonin to (</w:t>
      </w:r>
      <w:proofErr w:type="spellStart"/>
      <w:r w:rsidRPr="006D2D9D">
        <w:rPr>
          <w:rFonts w:ascii="Times New Roman" w:hAnsi="Times New Roman" w:cs="Times New Roman"/>
          <w:color w:val="000000"/>
          <w:sz w:val="24"/>
          <w:szCs w:val="24"/>
          <w:highlight w:val="white"/>
        </w:rPr>
        <w:t>i</w:t>
      </w:r>
      <w:proofErr w:type="spellEnd"/>
      <w:r w:rsidRPr="006D2D9D">
        <w:rPr>
          <w:rFonts w:ascii="Times New Roman" w:hAnsi="Times New Roman" w:cs="Times New Roman"/>
          <w:color w:val="000000"/>
          <w:sz w:val="24"/>
          <w:szCs w:val="24"/>
          <w:highlight w:val="white"/>
        </w:rPr>
        <w:t xml:space="preserve">) scavenge a variety of radicals and reactive oxygen species (ii) induce </w:t>
      </w:r>
      <w:proofErr w:type="spellStart"/>
      <w:r w:rsidRPr="006D2D9D">
        <w:rPr>
          <w:rFonts w:ascii="Times New Roman" w:hAnsi="Times New Roman" w:cs="Times New Roman"/>
          <w:color w:val="000000"/>
          <w:sz w:val="24"/>
          <w:szCs w:val="24"/>
          <w:highlight w:val="white"/>
        </w:rPr>
        <w:t>antioxidative</w:t>
      </w:r>
      <w:proofErr w:type="spellEnd"/>
      <w:r w:rsidRPr="006D2D9D">
        <w:rPr>
          <w:rFonts w:ascii="Times New Roman" w:hAnsi="Times New Roman" w:cs="Times New Roman"/>
          <w:color w:val="000000"/>
          <w:sz w:val="24"/>
          <w:szCs w:val="24"/>
          <w:highlight w:val="white"/>
        </w:rPr>
        <w:t xml:space="preserve"> enzymes which reduce steady state levels of reactive oxygen species and (iii) stabilize cell membranes which assist them in reducing oxidative damage and thus could prevent oxidative stress in rats.</w:t>
      </w:r>
    </w:p>
    <w:p w:rsidR="00DD7730" w:rsidRPr="006D2D9D" w:rsidRDefault="00DD7730" w:rsidP="00C676BF">
      <w:pPr>
        <w:widowControl w:val="0"/>
        <w:autoSpaceDE w:val="0"/>
        <w:autoSpaceDN w:val="0"/>
        <w:adjustRightInd w:val="0"/>
        <w:jc w:val="both"/>
        <w:rPr>
          <w:rFonts w:ascii="Times New Roman" w:hAnsi="Times New Roman" w:cs="Times New Roman"/>
          <w:sz w:val="24"/>
          <w:szCs w:val="24"/>
        </w:rPr>
      </w:pPr>
      <w:r w:rsidRPr="006D2D9D">
        <w:rPr>
          <w:rFonts w:ascii="Times New Roman" w:hAnsi="Times New Roman" w:cs="Times New Roman"/>
          <w:sz w:val="24"/>
          <w:szCs w:val="24"/>
        </w:rPr>
        <w:t>1. Introduction:</w:t>
      </w:r>
    </w:p>
    <w:p w:rsidR="00DD7730" w:rsidRPr="006D2D9D" w:rsidRDefault="00DD7730" w:rsidP="00C676BF">
      <w:pPr>
        <w:widowControl w:val="0"/>
        <w:autoSpaceDE w:val="0"/>
        <w:autoSpaceDN w:val="0"/>
        <w:adjustRightInd w:val="0"/>
        <w:jc w:val="both"/>
        <w:rPr>
          <w:rFonts w:ascii="Times New Roman" w:hAnsi="Times New Roman" w:cs="Times New Roman"/>
          <w:sz w:val="24"/>
          <w:szCs w:val="24"/>
        </w:rPr>
      </w:pPr>
      <w:r w:rsidRPr="006D2D9D">
        <w:rPr>
          <w:rFonts w:ascii="Times New Roman" w:hAnsi="Times New Roman" w:cs="Times New Roman"/>
          <w:sz w:val="24"/>
          <w:szCs w:val="24"/>
        </w:rPr>
        <w:t>Ammonia is a catabolic product of protein and nitrogenous compounds that is formed in mammals and humans. At hig</w:t>
      </w:r>
      <w:r w:rsidR="005D218E">
        <w:rPr>
          <w:rFonts w:ascii="Times New Roman" w:hAnsi="Times New Roman" w:cs="Times New Roman"/>
          <w:sz w:val="24"/>
          <w:szCs w:val="24"/>
        </w:rPr>
        <w:t xml:space="preserve">h levels, ammonia is </w:t>
      </w:r>
      <w:r w:rsidR="00FA586B">
        <w:rPr>
          <w:rFonts w:ascii="Times New Roman" w:hAnsi="Times New Roman" w:cs="Times New Roman"/>
          <w:sz w:val="24"/>
          <w:szCs w:val="24"/>
        </w:rPr>
        <w:t>neurotoxic;</w:t>
      </w:r>
      <w:r w:rsidRPr="006D2D9D">
        <w:rPr>
          <w:rFonts w:ascii="Times New Roman" w:hAnsi="Times New Roman" w:cs="Times New Roman"/>
          <w:sz w:val="24"/>
          <w:szCs w:val="24"/>
        </w:rPr>
        <w:t xml:space="preserve"> it affects the fu</w:t>
      </w:r>
      <w:r w:rsidR="002F2C44">
        <w:rPr>
          <w:rFonts w:ascii="Times New Roman" w:hAnsi="Times New Roman" w:cs="Times New Roman"/>
          <w:sz w:val="24"/>
          <w:szCs w:val="24"/>
        </w:rPr>
        <w:t>n</w:t>
      </w:r>
      <w:r w:rsidRPr="006D2D9D">
        <w:rPr>
          <w:rFonts w:ascii="Times New Roman" w:hAnsi="Times New Roman" w:cs="Times New Roman"/>
          <w:sz w:val="24"/>
          <w:szCs w:val="24"/>
        </w:rPr>
        <w:t xml:space="preserve">ctions of the central nervous system, and leads to coma and death (Plum et al. 1976). </w:t>
      </w:r>
      <w:proofErr w:type="spellStart"/>
      <w:r w:rsidRPr="006D2D9D">
        <w:rPr>
          <w:rFonts w:ascii="Times New Roman" w:hAnsi="Times New Roman" w:cs="Times New Roman"/>
          <w:sz w:val="24"/>
          <w:szCs w:val="24"/>
        </w:rPr>
        <w:t>Hyperammonemia</w:t>
      </w:r>
      <w:proofErr w:type="spellEnd"/>
      <w:r w:rsidRPr="006D2D9D">
        <w:rPr>
          <w:rFonts w:ascii="Times New Roman" w:hAnsi="Times New Roman" w:cs="Times New Roman"/>
          <w:sz w:val="24"/>
          <w:szCs w:val="24"/>
        </w:rPr>
        <w:t xml:space="preserve">, caused by insufficient removal of ammonia in the liver (Meijer et al.1990) or </w:t>
      </w:r>
      <w:proofErr w:type="spellStart"/>
      <w:r w:rsidRPr="006D2D9D">
        <w:rPr>
          <w:rFonts w:ascii="Times New Roman" w:hAnsi="Times New Roman" w:cs="Times New Roman"/>
          <w:sz w:val="24"/>
          <w:szCs w:val="24"/>
        </w:rPr>
        <w:t>portacaval</w:t>
      </w:r>
      <w:proofErr w:type="spellEnd"/>
      <w:r w:rsidRPr="006D2D9D">
        <w:rPr>
          <w:rFonts w:ascii="Times New Roman" w:hAnsi="Times New Roman" w:cs="Times New Roman"/>
          <w:sz w:val="24"/>
          <w:szCs w:val="24"/>
        </w:rPr>
        <w:t xml:space="preserve"> shunting  (Butterworth et el. 1987), which is responsible for the development of hepatic encephalopathy (Butterworth et al. 1995). Ammonia intoxication impairs mitochondrial function (</w:t>
      </w:r>
      <w:proofErr w:type="spellStart"/>
      <w:r w:rsidRPr="006D2D9D">
        <w:rPr>
          <w:rFonts w:ascii="Times New Roman" w:hAnsi="Times New Roman" w:cs="Times New Roman"/>
          <w:sz w:val="24"/>
          <w:szCs w:val="24"/>
        </w:rPr>
        <w:t>Kosenko</w:t>
      </w:r>
      <w:proofErr w:type="spellEnd"/>
      <w:r w:rsidRPr="006D2D9D">
        <w:rPr>
          <w:rFonts w:ascii="Times New Roman" w:hAnsi="Times New Roman" w:cs="Times New Roman"/>
          <w:sz w:val="24"/>
          <w:szCs w:val="24"/>
        </w:rPr>
        <w:t xml:space="preserve"> et el. 1997) which could lead to decreased ATP synthesis and increased formation of free radicals (</w:t>
      </w:r>
      <w:proofErr w:type="spellStart"/>
      <w:r w:rsidRPr="006D2D9D">
        <w:rPr>
          <w:rFonts w:ascii="Times New Roman" w:hAnsi="Times New Roman" w:cs="Times New Roman"/>
          <w:sz w:val="24"/>
          <w:szCs w:val="24"/>
        </w:rPr>
        <w:t>Kosenko</w:t>
      </w:r>
      <w:proofErr w:type="spellEnd"/>
      <w:r w:rsidRPr="006D2D9D">
        <w:rPr>
          <w:rFonts w:ascii="Times New Roman" w:hAnsi="Times New Roman" w:cs="Times New Roman"/>
          <w:sz w:val="24"/>
          <w:szCs w:val="24"/>
        </w:rPr>
        <w:t xml:space="preserve"> et al. 2000). The major toxic effects of ammonia likely involve changes in cellular pH and the depletion of certain </w:t>
      </w:r>
      <w:proofErr w:type="gramStart"/>
      <w:r w:rsidRPr="006D2D9D">
        <w:rPr>
          <w:rFonts w:ascii="Times New Roman" w:hAnsi="Times New Roman" w:cs="Times New Roman"/>
          <w:sz w:val="24"/>
          <w:szCs w:val="24"/>
        </w:rPr>
        <w:t>c</w:t>
      </w:r>
      <w:r w:rsidR="00E71D17">
        <w:rPr>
          <w:rFonts w:ascii="Times New Roman" w:hAnsi="Times New Roman" w:cs="Times New Roman"/>
          <w:sz w:val="24"/>
          <w:szCs w:val="24"/>
        </w:rPr>
        <w:t>itric</w:t>
      </w:r>
      <w:proofErr w:type="gramEnd"/>
      <w:r w:rsidR="00E71D17">
        <w:rPr>
          <w:rFonts w:ascii="Times New Roman" w:hAnsi="Times New Roman" w:cs="Times New Roman"/>
          <w:sz w:val="24"/>
          <w:szCs w:val="24"/>
        </w:rPr>
        <w:t xml:space="preserve"> acid cycle intermediates,</w:t>
      </w:r>
      <w:r w:rsidRPr="006D2D9D">
        <w:rPr>
          <w:rFonts w:ascii="Times New Roman" w:hAnsi="Times New Roman" w:cs="Times New Roman"/>
          <w:sz w:val="24"/>
          <w:szCs w:val="24"/>
        </w:rPr>
        <w:t xml:space="preserve"> in particular </w:t>
      </w:r>
      <w:r w:rsidR="00D8092A">
        <w:rPr>
          <w:rFonts w:ascii="Times New Roman" w:hAnsi="Times New Roman" w:cs="Times New Roman"/>
          <w:sz w:val="24"/>
          <w:szCs w:val="24"/>
        </w:rPr>
        <w:t>α-</w:t>
      </w:r>
      <w:proofErr w:type="spellStart"/>
      <w:r w:rsidRPr="006D2D9D">
        <w:rPr>
          <w:rFonts w:ascii="Times New Roman" w:hAnsi="Times New Roman" w:cs="Times New Roman"/>
          <w:sz w:val="24"/>
          <w:szCs w:val="24"/>
        </w:rPr>
        <w:t>keto-glutarate</w:t>
      </w:r>
      <w:proofErr w:type="spellEnd"/>
      <w:r w:rsidRPr="006D2D9D">
        <w:rPr>
          <w:rFonts w:ascii="Times New Roman" w:hAnsi="Times New Roman" w:cs="Times New Roman"/>
          <w:sz w:val="24"/>
          <w:szCs w:val="24"/>
        </w:rPr>
        <w:t xml:space="preserve">. Sustained </w:t>
      </w:r>
      <w:r w:rsidR="00D8092A">
        <w:rPr>
          <w:rFonts w:ascii="Times New Roman" w:hAnsi="Times New Roman" w:cs="Times New Roman"/>
          <w:sz w:val="24"/>
          <w:szCs w:val="24"/>
        </w:rPr>
        <w:t xml:space="preserve"> </w:t>
      </w:r>
      <w:r w:rsidRPr="006D2D9D">
        <w:rPr>
          <w:rFonts w:ascii="Times New Roman" w:hAnsi="Times New Roman" w:cs="Times New Roman"/>
          <w:sz w:val="24"/>
          <w:szCs w:val="24"/>
        </w:rPr>
        <w:t xml:space="preserve"> </w:t>
      </w:r>
      <w:proofErr w:type="spellStart"/>
      <w:r w:rsidRPr="006D2D9D">
        <w:rPr>
          <w:rFonts w:ascii="Times New Roman" w:hAnsi="Times New Roman" w:cs="Times New Roman"/>
          <w:sz w:val="24"/>
          <w:szCs w:val="24"/>
        </w:rPr>
        <w:t>hyperammonemia</w:t>
      </w:r>
      <w:proofErr w:type="spellEnd"/>
      <w:r w:rsidRPr="006D2D9D">
        <w:rPr>
          <w:rFonts w:ascii="Times New Roman" w:hAnsi="Times New Roman" w:cs="Times New Roman"/>
          <w:sz w:val="24"/>
          <w:szCs w:val="24"/>
        </w:rPr>
        <w:t xml:space="preserve"> in mice leads to increased lipid peroxidation in liver and brain, reflecting an oxidative stress condition (Connor and </w:t>
      </w:r>
      <w:proofErr w:type="spellStart"/>
      <w:r w:rsidRPr="006D2D9D">
        <w:rPr>
          <w:rFonts w:ascii="Times New Roman" w:hAnsi="Times New Roman" w:cs="Times New Roman"/>
          <w:sz w:val="24"/>
          <w:szCs w:val="24"/>
        </w:rPr>
        <w:t>Costell</w:t>
      </w:r>
      <w:proofErr w:type="spellEnd"/>
      <w:r w:rsidRPr="006D2D9D">
        <w:rPr>
          <w:rFonts w:ascii="Times New Roman" w:hAnsi="Times New Roman" w:cs="Times New Roman"/>
          <w:sz w:val="24"/>
          <w:szCs w:val="24"/>
        </w:rPr>
        <w:t xml:space="preserve"> 1990; </w:t>
      </w:r>
      <w:proofErr w:type="spellStart"/>
      <w:r w:rsidRPr="006D2D9D">
        <w:rPr>
          <w:rFonts w:ascii="Times New Roman" w:hAnsi="Times New Roman" w:cs="Times New Roman"/>
          <w:sz w:val="24"/>
          <w:szCs w:val="24"/>
        </w:rPr>
        <w:t>Dakshayani</w:t>
      </w:r>
      <w:proofErr w:type="spellEnd"/>
      <w:r w:rsidRPr="006D2D9D">
        <w:rPr>
          <w:rFonts w:ascii="Times New Roman" w:hAnsi="Times New Roman" w:cs="Times New Roman"/>
          <w:sz w:val="24"/>
          <w:szCs w:val="24"/>
        </w:rPr>
        <w:t xml:space="preserve"> et al. 2002). Melatonin (</w:t>
      </w:r>
      <w:r w:rsidRPr="006D2D9D">
        <w:rPr>
          <w:rFonts w:ascii="Times New Roman" w:hAnsi="Times New Roman" w:cs="Times New Roman"/>
          <w:i/>
          <w:iCs/>
          <w:sz w:val="24"/>
          <w:szCs w:val="24"/>
        </w:rPr>
        <w:t>N</w:t>
      </w:r>
      <w:r w:rsidRPr="006D2D9D">
        <w:rPr>
          <w:rFonts w:ascii="Times New Roman" w:hAnsi="Times New Roman" w:cs="Times New Roman"/>
          <w:sz w:val="24"/>
          <w:szCs w:val="24"/>
        </w:rPr>
        <w:t>-acetyl-5-methoxy-tryptamine) is the main s</w:t>
      </w:r>
      <w:r w:rsidR="00D8092A">
        <w:rPr>
          <w:rFonts w:ascii="Times New Roman" w:hAnsi="Times New Roman" w:cs="Times New Roman"/>
          <w:sz w:val="24"/>
          <w:szCs w:val="24"/>
        </w:rPr>
        <w:t>e</w:t>
      </w:r>
      <w:r w:rsidRPr="006D2D9D">
        <w:rPr>
          <w:rFonts w:ascii="Times New Roman" w:hAnsi="Times New Roman" w:cs="Times New Roman"/>
          <w:sz w:val="24"/>
          <w:szCs w:val="24"/>
        </w:rPr>
        <w:t>cretory product of the pineal gland. It is present in virtually all organisms ranging from bacteria (Manch</w:t>
      </w:r>
      <w:r w:rsidR="00FA586B">
        <w:rPr>
          <w:rFonts w:ascii="Times New Roman" w:hAnsi="Times New Roman" w:cs="Times New Roman"/>
          <w:sz w:val="24"/>
          <w:szCs w:val="24"/>
        </w:rPr>
        <w:t>ester et al. 1995) to mammals (</w:t>
      </w:r>
      <w:proofErr w:type="spellStart"/>
      <w:r w:rsidRPr="006D2D9D">
        <w:rPr>
          <w:rFonts w:ascii="Times New Roman" w:hAnsi="Times New Roman" w:cs="Times New Roman"/>
          <w:sz w:val="24"/>
          <w:szCs w:val="24"/>
        </w:rPr>
        <w:t>Poeggeler</w:t>
      </w:r>
      <w:proofErr w:type="spellEnd"/>
      <w:r w:rsidRPr="006D2D9D">
        <w:rPr>
          <w:rFonts w:ascii="Times New Roman" w:hAnsi="Times New Roman" w:cs="Times New Roman"/>
          <w:sz w:val="24"/>
          <w:szCs w:val="24"/>
        </w:rPr>
        <w:t xml:space="preserve"> et al. 1991). Further, Melatonin is an endogenous free radical scavenger </w:t>
      </w:r>
      <w:r w:rsidRPr="006D2D9D">
        <w:rPr>
          <w:rFonts w:ascii="Times New Roman" w:hAnsi="Times New Roman" w:cs="Times New Roman"/>
          <w:sz w:val="24"/>
          <w:szCs w:val="24"/>
        </w:rPr>
        <w:lastRenderedPageBreak/>
        <w:t xml:space="preserve">(Tan et al. 1993) and a broad spectrum antioxidant (Reiter </w:t>
      </w:r>
      <w:proofErr w:type="gramStart"/>
      <w:r w:rsidRPr="006D2D9D">
        <w:rPr>
          <w:rFonts w:ascii="Times New Roman" w:hAnsi="Times New Roman" w:cs="Times New Roman"/>
          <w:sz w:val="24"/>
          <w:szCs w:val="24"/>
        </w:rPr>
        <w:t>et</w:t>
      </w:r>
      <w:proofErr w:type="gramEnd"/>
      <w:r w:rsidRPr="006D2D9D">
        <w:rPr>
          <w:rFonts w:ascii="Times New Roman" w:hAnsi="Times New Roman" w:cs="Times New Roman"/>
          <w:sz w:val="24"/>
          <w:szCs w:val="24"/>
        </w:rPr>
        <w:t xml:space="preserve"> al.1993). It detoxifies a variety of free radicals and reactive oxygen intermediates including the hydroxyl radical, </w:t>
      </w:r>
      <w:proofErr w:type="spellStart"/>
      <w:r w:rsidRPr="006D2D9D">
        <w:rPr>
          <w:rFonts w:ascii="Times New Roman" w:hAnsi="Times New Roman" w:cs="Times New Roman"/>
          <w:sz w:val="24"/>
          <w:szCs w:val="24"/>
        </w:rPr>
        <w:t>peroxynitrite</w:t>
      </w:r>
      <w:proofErr w:type="spellEnd"/>
      <w:r w:rsidRPr="006D2D9D">
        <w:rPr>
          <w:rFonts w:ascii="Times New Roman" w:hAnsi="Times New Roman" w:cs="Times New Roman"/>
          <w:sz w:val="24"/>
          <w:szCs w:val="24"/>
        </w:rPr>
        <w:t xml:space="preserve"> anion, singlet oxygen and nitric oxide (Reiter </w:t>
      </w:r>
      <w:proofErr w:type="gramStart"/>
      <w:r w:rsidRPr="006D2D9D">
        <w:rPr>
          <w:rFonts w:ascii="Times New Roman" w:hAnsi="Times New Roman" w:cs="Times New Roman"/>
          <w:sz w:val="24"/>
          <w:szCs w:val="24"/>
        </w:rPr>
        <w:t>et</w:t>
      </w:r>
      <w:proofErr w:type="gramEnd"/>
      <w:r w:rsidRPr="006D2D9D">
        <w:rPr>
          <w:rFonts w:ascii="Times New Roman" w:hAnsi="Times New Roman" w:cs="Times New Roman"/>
          <w:sz w:val="24"/>
          <w:szCs w:val="24"/>
        </w:rPr>
        <w:t xml:space="preserve"> al.1999). Melatonin, which shows extreme </w:t>
      </w:r>
      <w:proofErr w:type="spellStart"/>
      <w:r w:rsidRPr="006D2D9D">
        <w:rPr>
          <w:rFonts w:ascii="Times New Roman" w:hAnsi="Times New Roman" w:cs="Times New Roman"/>
          <w:sz w:val="24"/>
          <w:szCs w:val="24"/>
        </w:rPr>
        <w:t>diffusibilty</w:t>
      </w:r>
      <w:proofErr w:type="spellEnd"/>
      <w:r w:rsidRPr="006D2D9D">
        <w:rPr>
          <w:rFonts w:ascii="Times New Roman" w:hAnsi="Times New Roman" w:cs="Times New Roman"/>
          <w:sz w:val="24"/>
          <w:szCs w:val="24"/>
        </w:rPr>
        <w:t xml:space="preserve"> through membranes, is important for its scavenging action, since it could enter all cells and every subcellular compartment.</w:t>
      </w:r>
    </w:p>
    <w:p w:rsidR="00DD7730" w:rsidRDefault="00DD7730" w:rsidP="00C676BF">
      <w:pPr>
        <w:widowControl w:val="0"/>
        <w:autoSpaceDE w:val="0"/>
        <w:autoSpaceDN w:val="0"/>
        <w:adjustRightInd w:val="0"/>
        <w:jc w:val="both"/>
        <w:rPr>
          <w:rFonts w:ascii="Times New Roman" w:hAnsi="Times New Roman" w:cs="Times New Roman"/>
          <w:sz w:val="24"/>
          <w:szCs w:val="24"/>
        </w:rPr>
      </w:pPr>
      <w:r w:rsidRPr="006D2D9D">
        <w:rPr>
          <w:rFonts w:ascii="Times New Roman" w:hAnsi="Times New Roman" w:cs="Times New Roman"/>
          <w:sz w:val="24"/>
          <w:szCs w:val="24"/>
        </w:rPr>
        <w:t xml:space="preserve">Systematic investigations of the levels of lipid peroxidation products and the levels of </w:t>
      </w:r>
      <w:proofErr w:type="spellStart"/>
      <w:r w:rsidRPr="006D2D9D">
        <w:rPr>
          <w:rFonts w:ascii="Times New Roman" w:hAnsi="Times New Roman" w:cs="Times New Roman"/>
          <w:sz w:val="24"/>
          <w:szCs w:val="24"/>
        </w:rPr>
        <w:t>enzymic</w:t>
      </w:r>
      <w:proofErr w:type="spellEnd"/>
      <w:r w:rsidRPr="006D2D9D">
        <w:rPr>
          <w:rFonts w:ascii="Times New Roman" w:hAnsi="Times New Roman" w:cs="Times New Roman"/>
          <w:sz w:val="24"/>
          <w:szCs w:val="24"/>
        </w:rPr>
        <w:t xml:space="preserve"> and non-enzymatic antioxidants under the conditions of </w:t>
      </w:r>
      <w:proofErr w:type="spellStart"/>
      <w:r w:rsidRPr="006D2D9D">
        <w:rPr>
          <w:rFonts w:ascii="Times New Roman" w:hAnsi="Times New Roman" w:cs="Times New Roman"/>
          <w:sz w:val="24"/>
          <w:szCs w:val="24"/>
        </w:rPr>
        <w:t>hyperammonemia</w:t>
      </w:r>
      <w:proofErr w:type="spellEnd"/>
      <w:r w:rsidRPr="006D2D9D">
        <w:rPr>
          <w:rFonts w:ascii="Times New Roman" w:hAnsi="Times New Roman" w:cs="Times New Roman"/>
          <w:sz w:val="24"/>
          <w:szCs w:val="24"/>
        </w:rPr>
        <w:t xml:space="preserve"> are lacking. The present study deals with the levels of </w:t>
      </w:r>
      <w:proofErr w:type="spellStart"/>
      <w:r w:rsidRPr="006D2D9D">
        <w:rPr>
          <w:rFonts w:ascii="Times New Roman" w:hAnsi="Times New Roman" w:cs="Times New Roman"/>
          <w:sz w:val="24"/>
          <w:szCs w:val="24"/>
        </w:rPr>
        <w:t>thiobarbituric</w:t>
      </w:r>
      <w:proofErr w:type="spellEnd"/>
      <w:r w:rsidRPr="006D2D9D">
        <w:rPr>
          <w:rFonts w:ascii="Times New Roman" w:hAnsi="Times New Roman" w:cs="Times New Roman"/>
          <w:sz w:val="24"/>
          <w:szCs w:val="24"/>
        </w:rPr>
        <w:t xml:space="preserve"> acid reactive substances (TBARS-the products of lipid pe</w:t>
      </w:r>
      <w:r w:rsidR="006A4535">
        <w:rPr>
          <w:rFonts w:ascii="Times New Roman" w:hAnsi="Times New Roman" w:cs="Times New Roman"/>
          <w:sz w:val="24"/>
          <w:szCs w:val="24"/>
        </w:rPr>
        <w:t>r</w:t>
      </w:r>
      <w:r w:rsidRPr="006D2D9D">
        <w:rPr>
          <w:rFonts w:ascii="Times New Roman" w:hAnsi="Times New Roman" w:cs="Times New Roman"/>
          <w:sz w:val="24"/>
          <w:szCs w:val="24"/>
        </w:rPr>
        <w:t>oxidation) and the levels of catalase, superoxide dismutase and glutathione peroxidas</w:t>
      </w:r>
      <w:r w:rsidR="004C09EE">
        <w:rPr>
          <w:rFonts w:ascii="Times New Roman" w:hAnsi="Times New Roman" w:cs="Times New Roman"/>
          <w:sz w:val="24"/>
          <w:szCs w:val="24"/>
        </w:rPr>
        <w:t>e (enzymatic an</w:t>
      </w:r>
      <w:r w:rsidRPr="006D2D9D">
        <w:rPr>
          <w:rFonts w:ascii="Times New Roman" w:hAnsi="Times New Roman" w:cs="Times New Roman"/>
          <w:sz w:val="24"/>
          <w:szCs w:val="24"/>
        </w:rPr>
        <w:t>tioxidants) an</w:t>
      </w:r>
      <w:r w:rsidR="0099790B">
        <w:rPr>
          <w:rFonts w:ascii="Times New Roman" w:hAnsi="Times New Roman" w:cs="Times New Roman"/>
          <w:sz w:val="24"/>
          <w:szCs w:val="24"/>
        </w:rPr>
        <w:t xml:space="preserve">d reduced </w:t>
      </w:r>
      <w:r w:rsidR="00FA586B">
        <w:rPr>
          <w:rFonts w:ascii="Times New Roman" w:hAnsi="Times New Roman" w:cs="Times New Roman"/>
          <w:sz w:val="24"/>
          <w:szCs w:val="24"/>
        </w:rPr>
        <w:t xml:space="preserve">glutathione </w:t>
      </w:r>
      <w:r w:rsidR="00FA586B" w:rsidRPr="006D2D9D">
        <w:rPr>
          <w:rFonts w:ascii="Times New Roman" w:hAnsi="Times New Roman" w:cs="Times New Roman"/>
          <w:sz w:val="24"/>
          <w:szCs w:val="24"/>
        </w:rPr>
        <w:t>(</w:t>
      </w:r>
      <w:r w:rsidRPr="006D2D9D">
        <w:rPr>
          <w:rFonts w:ascii="Times New Roman" w:hAnsi="Times New Roman" w:cs="Times New Roman"/>
          <w:sz w:val="24"/>
          <w:szCs w:val="24"/>
        </w:rPr>
        <w:t xml:space="preserve">non-enzymatic antioxidant) in the tissue under the conditions levels of </w:t>
      </w:r>
      <w:proofErr w:type="spellStart"/>
      <w:r w:rsidRPr="006D2D9D">
        <w:rPr>
          <w:rFonts w:ascii="Times New Roman" w:hAnsi="Times New Roman" w:cs="Times New Roman"/>
          <w:sz w:val="24"/>
          <w:szCs w:val="24"/>
        </w:rPr>
        <w:t>hyperammonemia</w:t>
      </w:r>
      <w:proofErr w:type="spellEnd"/>
      <w:r w:rsidRPr="006D2D9D">
        <w:rPr>
          <w:rFonts w:ascii="Times New Roman" w:hAnsi="Times New Roman" w:cs="Times New Roman"/>
          <w:sz w:val="24"/>
          <w:szCs w:val="24"/>
        </w:rPr>
        <w:t xml:space="preserve"> and during mela</w:t>
      </w:r>
      <w:r w:rsidR="0099790B">
        <w:rPr>
          <w:rFonts w:ascii="Times New Roman" w:hAnsi="Times New Roman" w:cs="Times New Roman"/>
          <w:sz w:val="24"/>
          <w:szCs w:val="24"/>
        </w:rPr>
        <w:t>t</w:t>
      </w:r>
      <w:r w:rsidRPr="006D2D9D">
        <w:rPr>
          <w:rFonts w:ascii="Times New Roman" w:hAnsi="Times New Roman" w:cs="Times New Roman"/>
          <w:sz w:val="24"/>
          <w:szCs w:val="24"/>
        </w:rPr>
        <w:t>onin treatment in rats. Furthermore, the levels of lipid profile variables (free fatty acids, triglycerides, phospholipids and cholest</w:t>
      </w:r>
      <w:r w:rsidR="00484046">
        <w:rPr>
          <w:rFonts w:ascii="Times New Roman" w:hAnsi="Times New Roman" w:cs="Times New Roman"/>
          <w:sz w:val="24"/>
          <w:szCs w:val="24"/>
        </w:rPr>
        <w:t>e</w:t>
      </w:r>
      <w:r w:rsidRPr="006D2D9D">
        <w:rPr>
          <w:rFonts w:ascii="Times New Roman" w:hAnsi="Times New Roman" w:cs="Times New Roman"/>
          <w:sz w:val="24"/>
          <w:szCs w:val="24"/>
        </w:rPr>
        <w:t>rol) in all the groups were investigated.</w:t>
      </w:r>
      <w:bookmarkStart w:id="0" w:name="_GoBack"/>
      <w:bookmarkEnd w:id="0"/>
    </w:p>
    <w:p w:rsidR="00810BAE" w:rsidRPr="006D2D9D" w:rsidRDefault="00810BAE" w:rsidP="00C676BF">
      <w:pPr>
        <w:jc w:val="both"/>
        <w:rPr>
          <w:rFonts w:ascii="Times New Roman" w:hAnsi="Times New Roman" w:cs="Times New Roman"/>
          <w:sz w:val="24"/>
          <w:szCs w:val="24"/>
        </w:rPr>
      </w:pPr>
      <w:r w:rsidRPr="006D2D9D">
        <w:rPr>
          <w:rFonts w:ascii="Times New Roman" w:hAnsi="Times New Roman" w:cs="Times New Roman"/>
          <w:sz w:val="24"/>
          <w:szCs w:val="24"/>
        </w:rPr>
        <w:t xml:space="preserve">Materials and Methods </w:t>
      </w:r>
    </w:p>
    <w:p w:rsidR="00810BAE" w:rsidRPr="006D2D9D" w:rsidRDefault="00810BAE" w:rsidP="00C676BF">
      <w:pPr>
        <w:jc w:val="both"/>
        <w:rPr>
          <w:rFonts w:ascii="Times New Roman" w:hAnsi="Times New Roman" w:cs="Times New Roman"/>
          <w:sz w:val="24"/>
          <w:szCs w:val="24"/>
        </w:rPr>
      </w:pPr>
      <w:r w:rsidRPr="006D2D9D">
        <w:rPr>
          <w:rFonts w:ascii="Times New Roman" w:hAnsi="Times New Roman" w:cs="Times New Roman"/>
          <w:sz w:val="24"/>
          <w:szCs w:val="24"/>
        </w:rPr>
        <w:t xml:space="preserve">Adult male </w:t>
      </w:r>
      <w:proofErr w:type="spellStart"/>
      <w:r w:rsidRPr="006D2D9D">
        <w:rPr>
          <w:rFonts w:ascii="Times New Roman" w:hAnsi="Times New Roman" w:cs="Times New Roman"/>
          <w:sz w:val="24"/>
          <w:szCs w:val="24"/>
        </w:rPr>
        <w:t>Wistar</w:t>
      </w:r>
      <w:proofErr w:type="spellEnd"/>
      <w:r w:rsidRPr="006D2D9D">
        <w:rPr>
          <w:rFonts w:ascii="Times New Roman" w:hAnsi="Times New Roman" w:cs="Times New Roman"/>
          <w:sz w:val="24"/>
          <w:szCs w:val="24"/>
        </w:rPr>
        <w:t xml:space="preserve"> rats (180-220 g), obtained from National Centre for Laboratory Animal Sciences, Hyderabad, were maintained in polypropylene cages in a controlled environment (22-24</w:t>
      </w:r>
      <w:r w:rsidRPr="006D2D9D">
        <w:rPr>
          <w:rFonts w:ascii="Times New Roman" w:hAnsi="Times New Roman" w:cs="Times New Roman"/>
          <w:sz w:val="24"/>
          <w:szCs w:val="24"/>
          <w:vertAlign w:val="superscript"/>
        </w:rPr>
        <w:t xml:space="preserve">0  </w:t>
      </w:r>
      <w:r w:rsidRPr="006D2D9D">
        <w:rPr>
          <w:rFonts w:ascii="Times New Roman" w:hAnsi="Times New Roman" w:cs="Times New Roman"/>
          <w:sz w:val="24"/>
          <w:szCs w:val="24"/>
        </w:rPr>
        <w:t>C) under 12:12h light dark cycles. Standard pellet diet (</w:t>
      </w:r>
      <w:proofErr w:type="spellStart"/>
      <w:r w:rsidRPr="006D2D9D">
        <w:rPr>
          <w:rFonts w:ascii="Times New Roman" w:hAnsi="Times New Roman" w:cs="Times New Roman"/>
          <w:sz w:val="24"/>
          <w:szCs w:val="24"/>
        </w:rPr>
        <w:t>Kamadhenu</w:t>
      </w:r>
      <w:proofErr w:type="spellEnd"/>
      <w:r w:rsidRPr="006D2D9D">
        <w:rPr>
          <w:rFonts w:ascii="Times New Roman" w:hAnsi="Times New Roman" w:cs="Times New Roman"/>
          <w:sz w:val="24"/>
          <w:szCs w:val="24"/>
        </w:rPr>
        <w:t xml:space="preserve"> Agencies, Bangalore, India) and water were provided </w:t>
      </w:r>
      <w:r w:rsidRPr="00836D3E">
        <w:rPr>
          <w:rFonts w:ascii="Times New Roman" w:hAnsi="Times New Roman" w:cs="Times New Roman"/>
          <w:i/>
          <w:sz w:val="24"/>
          <w:szCs w:val="24"/>
        </w:rPr>
        <w:t>ad libitum</w:t>
      </w:r>
      <w:r w:rsidR="004C722E">
        <w:rPr>
          <w:rFonts w:ascii="Times New Roman" w:hAnsi="Times New Roman" w:cs="Times New Roman"/>
          <w:sz w:val="24"/>
          <w:szCs w:val="24"/>
        </w:rPr>
        <w:t>. All studies were co</w:t>
      </w:r>
      <w:r w:rsidRPr="006D2D9D">
        <w:rPr>
          <w:rFonts w:ascii="Times New Roman" w:hAnsi="Times New Roman" w:cs="Times New Roman"/>
          <w:sz w:val="24"/>
          <w:szCs w:val="24"/>
        </w:rPr>
        <w:t>nducted in accordance with the</w:t>
      </w:r>
      <w:r w:rsidR="003E1B0E">
        <w:rPr>
          <w:rFonts w:ascii="Times New Roman" w:hAnsi="Times New Roman" w:cs="Times New Roman"/>
          <w:sz w:val="24"/>
          <w:szCs w:val="24"/>
        </w:rPr>
        <w:t xml:space="preserve"> National Institute of Health Guide for the Care and Use of Laboratory Animals </w:t>
      </w:r>
      <w:r w:rsidR="00FA586B">
        <w:rPr>
          <w:rFonts w:ascii="Times New Roman" w:hAnsi="Times New Roman" w:cs="Times New Roman"/>
          <w:sz w:val="24"/>
          <w:szCs w:val="24"/>
        </w:rPr>
        <w:t>(</w:t>
      </w:r>
      <w:r w:rsidR="00FA586B" w:rsidRPr="006D2D9D">
        <w:rPr>
          <w:rFonts w:ascii="Times New Roman" w:hAnsi="Times New Roman" w:cs="Times New Roman"/>
          <w:sz w:val="24"/>
          <w:szCs w:val="24"/>
        </w:rPr>
        <w:t>National</w:t>
      </w:r>
      <w:r w:rsidRPr="006D2D9D">
        <w:rPr>
          <w:rFonts w:ascii="Times New Roman" w:hAnsi="Times New Roman" w:cs="Times New Roman"/>
          <w:sz w:val="24"/>
          <w:szCs w:val="24"/>
        </w:rPr>
        <w:t xml:space="preserve"> Institute Guide, 1985). Melatonin was purchased from </w:t>
      </w:r>
      <w:proofErr w:type="spellStart"/>
      <w:r w:rsidRPr="006D2D9D">
        <w:rPr>
          <w:rFonts w:ascii="Times New Roman" w:hAnsi="Times New Roman" w:cs="Times New Roman"/>
          <w:sz w:val="24"/>
          <w:szCs w:val="24"/>
        </w:rPr>
        <w:t>Sisco</w:t>
      </w:r>
      <w:proofErr w:type="spellEnd"/>
      <w:r w:rsidRPr="006D2D9D">
        <w:rPr>
          <w:rFonts w:ascii="Times New Roman" w:hAnsi="Times New Roman" w:cs="Times New Roman"/>
          <w:sz w:val="24"/>
          <w:szCs w:val="24"/>
        </w:rPr>
        <w:t xml:space="preserve"> Research Laboratories Private </w:t>
      </w:r>
      <w:proofErr w:type="spellStart"/>
      <w:r w:rsidRPr="006D2D9D">
        <w:rPr>
          <w:rFonts w:ascii="Times New Roman" w:hAnsi="Times New Roman" w:cs="Times New Roman"/>
          <w:sz w:val="24"/>
          <w:szCs w:val="24"/>
        </w:rPr>
        <w:t>Limted</w:t>
      </w:r>
      <w:proofErr w:type="spellEnd"/>
      <w:r w:rsidRPr="006D2D9D">
        <w:rPr>
          <w:rFonts w:ascii="Times New Roman" w:hAnsi="Times New Roman" w:cs="Times New Roman"/>
          <w:sz w:val="24"/>
          <w:szCs w:val="24"/>
        </w:rPr>
        <w:t>, Mumbai, India. Ammonium acetate and all other chemicals used in this study were of analytical grade.</w:t>
      </w:r>
    </w:p>
    <w:p w:rsidR="00810BAE" w:rsidRPr="006D2D9D" w:rsidRDefault="00810BAE" w:rsidP="00700FF0">
      <w:pPr>
        <w:jc w:val="both"/>
        <w:rPr>
          <w:rFonts w:ascii="Times New Roman" w:hAnsi="Times New Roman" w:cs="Times New Roman"/>
          <w:sz w:val="24"/>
          <w:szCs w:val="24"/>
        </w:rPr>
      </w:pPr>
      <w:r w:rsidRPr="006D2D9D">
        <w:rPr>
          <w:rFonts w:ascii="Times New Roman" w:hAnsi="Times New Roman" w:cs="Times New Roman"/>
          <w:sz w:val="24"/>
          <w:szCs w:val="24"/>
        </w:rPr>
        <w:t>The animals were divided into four groups of six rats each and all were fed with t</w:t>
      </w:r>
      <w:r w:rsidR="00442A97">
        <w:rPr>
          <w:rFonts w:ascii="Times New Roman" w:hAnsi="Times New Roman" w:cs="Times New Roman"/>
          <w:sz w:val="24"/>
          <w:szCs w:val="24"/>
        </w:rPr>
        <w:t>he standard pellet diet. Group I</w:t>
      </w:r>
      <w:r w:rsidRPr="006D2D9D">
        <w:rPr>
          <w:rFonts w:ascii="Times New Roman" w:hAnsi="Times New Roman" w:cs="Times New Roman"/>
          <w:sz w:val="24"/>
          <w:szCs w:val="24"/>
        </w:rPr>
        <w:t xml:space="preserve"> ani</w:t>
      </w:r>
      <w:r w:rsidR="00442A97">
        <w:rPr>
          <w:rFonts w:ascii="Times New Roman" w:hAnsi="Times New Roman" w:cs="Times New Roman"/>
          <w:sz w:val="24"/>
          <w:szCs w:val="24"/>
        </w:rPr>
        <w:t>mals served as controls. Group II</w:t>
      </w:r>
      <w:r w:rsidRPr="006D2D9D">
        <w:rPr>
          <w:rFonts w:ascii="Times New Roman" w:hAnsi="Times New Roman" w:cs="Times New Roman"/>
          <w:sz w:val="24"/>
          <w:szCs w:val="24"/>
        </w:rPr>
        <w:t xml:space="preserve"> animals were administered with ammonium acetate </w:t>
      </w:r>
      <w:proofErr w:type="spellStart"/>
      <w:r w:rsidRPr="006D2D9D">
        <w:rPr>
          <w:rFonts w:ascii="Times New Roman" w:hAnsi="Times New Roman" w:cs="Times New Roman"/>
          <w:sz w:val="24"/>
          <w:szCs w:val="24"/>
        </w:rPr>
        <w:t>intraperitoneally</w:t>
      </w:r>
      <w:proofErr w:type="spellEnd"/>
      <w:r w:rsidRPr="006D2D9D">
        <w:rPr>
          <w:rFonts w:ascii="Times New Roman" w:hAnsi="Times New Roman" w:cs="Times New Roman"/>
          <w:sz w:val="24"/>
          <w:szCs w:val="24"/>
        </w:rPr>
        <w:t xml:space="preserve"> (100 mg/kg</w:t>
      </w:r>
      <w:r w:rsidR="008B5658">
        <w:rPr>
          <w:rFonts w:ascii="Times New Roman" w:hAnsi="Times New Roman" w:cs="Times New Roman"/>
          <w:sz w:val="24"/>
          <w:szCs w:val="24"/>
        </w:rPr>
        <w:t>)</w:t>
      </w:r>
      <w:r w:rsidRPr="006D2D9D">
        <w:rPr>
          <w:rFonts w:ascii="Times New Roman" w:hAnsi="Times New Roman" w:cs="Times New Roman"/>
          <w:sz w:val="24"/>
          <w:szCs w:val="24"/>
        </w:rPr>
        <w:t xml:space="preserve"> every day for 45days (</w:t>
      </w:r>
      <w:proofErr w:type="spellStart"/>
      <w:r w:rsidR="00442A97">
        <w:rPr>
          <w:rFonts w:ascii="Times New Roman" w:hAnsi="Times New Roman" w:cs="Times New Roman"/>
          <w:sz w:val="24"/>
          <w:szCs w:val="24"/>
        </w:rPr>
        <w:t>Hilgier</w:t>
      </w:r>
      <w:proofErr w:type="spellEnd"/>
      <w:r w:rsidR="00442A97">
        <w:rPr>
          <w:rFonts w:ascii="Times New Roman" w:hAnsi="Times New Roman" w:cs="Times New Roman"/>
          <w:sz w:val="24"/>
          <w:szCs w:val="24"/>
        </w:rPr>
        <w:t xml:space="preserve"> et al. 1990). Group III</w:t>
      </w:r>
      <w:r w:rsidRPr="006D2D9D">
        <w:rPr>
          <w:rFonts w:ascii="Times New Roman" w:hAnsi="Times New Roman" w:cs="Times New Roman"/>
          <w:sz w:val="24"/>
          <w:szCs w:val="24"/>
        </w:rPr>
        <w:t xml:space="preserve"> animals were treated with ammonium acetate as group</w:t>
      </w:r>
      <w:r w:rsidR="008B5658">
        <w:rPr>
          <w:rFonts w:ascii="Times New Roman" w:hAnsi="Times New Roman" w:cs="Times New Roman"/>
          <w:sz w:val="24"/>
          <w:szCs w:val="24"/>
        </w:rPr>
        <w:t xml:space="preserve"> </w:t>
      </w:r>
      <w:r w:rsidR="00442A97">
        <w:rPr>
          <w:rFonts w:ascii="Times New Roman" w:hAnsi="Times New Roman" w:cs="Times New Roman"/>
          <w:sz w:val="24"/>
          <w:szCs w:val="24"/>
        </w:rPr>
        <w:t>II</w:t>
      </w:r>
      <w:r w:rsidRPr="006D2D9D">
        <w:rPr>
          <w:rFonts w:ascii="Times New Roman" w:hAnsi="Times New Roman" w:cs="Times New Roman"/>
          <w:sz w:val="24"/>
          <w:szCs w:val="24"/>
        </w:rPr>
        <w:t xml:space="preserve"> animal</w:t>
      </w:r>
      <w:r w:rsidR="008B5658">
        <w:rPr>
          <w:rFonts w:ascii="Times New Roman" w:hAnsi="Times New Roman" w:cs="Times New Roman"/>
          <w:sz w:val="24"/>
          <w:szCs w:val="24"/>
        </w:rPr>
        <w:t xml:space="preserve">s along with melatonin (5mg/kg) </w:t>
      </w:r>
      <w:proofErr w:type="spellStart"/>
      <w:r w:rsidR="008B5658">
        <w:rPr>
          <w:rFonts w:ascii="Times New Roman" w:hAnsi="Times New Roman" w:cs="Times New Roman"/>
          <w:sz w:val="24"/>
          <w:szCs w:val="24"/>
        </w:rPr>
        <w:t>intraperitoneally</w:t>
      </w:r>
      <w:proofErr w:type="spellEnd"/>
      <w:r w:rsidR="008B5658">
        <w:rPr>
          <w:rFonts w:ascii="Times New Roman" w:hAnsi="Times New Roman" w:cs="Times New Roman"/>
          <w:sz w:val="24"/>
          <w:szCs w:val="24"/>
        </w:rPr>
        <w:t xml:space="preserve"> (L</w:t>
      </w:r>
      <w:r w:rsidR="00442A97">
        <w:rPr>
          <w:rFonts w:ascii="Times New Roman" w:hAnsi="Times New Roman" w:cs="Times New Roman"/>
          <w:sz w:val="24"/>
          <w:szCs w:val="24"/>
        </w:rPr>
        <w:t>iu and Ng 2000). Group IV</w:t>
      </w:r>
      <w:r w:rsidRPr="006D2D9D">
        <w:rPr>
          <w:rFonts w:ascii="Times New Roman" w:hAnsi="Times New Roman" w:cs="Times New Roman"/>
          <w:sz w:val="24"/>
          <w:szCs w:val="24"/>
        </w:rPr>
        <w:t xml:space="preserve"> animals received melatonin (5 mg/kg)</w:t>
      </w:r>
      <w:r w:rsidR="00CE1776">
        <w:rPr>
          <w:rFonts w:ascii="Times New Roman" w:hAnsi="Times New Roman" w:cs="Times New Roman"/>
          <w:sz w:val="24"/>
          <w:szCs w:val="24"/>
        </w:rPr>
        <w:t xml:space="preserve"> </w:t>
      </w:r>
      <w:proofErr w:type="spellStart"/>
      <w:r w:rsidRPr="006D2D9D">
        <w:rPr>
          <w:rFonts w:ascii="Times New Roman" w:hAnsi="Times New Roman" w:cs="Times New Roman"/>
          <w:sz w:val="24"/>
          <w:szCs w:val="24"/>
        </w:rPr>
        <w:t>intraperitoneally</w:t>
      </w:r>
      <w:proofErr w:type="spellEnd"/>
      <w:r w:rsidRPr="006D2D9D">
        <w:rPr>
          <w:rFonts w:ascii="Times New Roman" w:hAnsi="Times New Roman" w:cs="Times New Roman"/>
          <w:sz w:val="24"/>
          <w:szCs w:val="24"/>
        </w:rPr>
        <w:t xml:space="preserve"> throughout the experiment. </w:t>
      </w:r>
    </w:p>
    <w:p w:rsidR="00810BAE" w:rsidRPr="006D2D9D" w:rsidRDefault="00810BAE" w:rsidP="00700FF0">
      <w:pPr>
        <w:jc w:val="both"/>
        <w:rPr>
          <w:rFonts w:ascii="Times New Roman" w:hAnsi="Times New Roman" w:cs="Times New Roman"/>
          <w:sz w:val="24"/>
          <w:szCs w:val="24"/>
        </w:rPr>
      </w:pPr>
      <w:r>
        <w:rPr>
          <w:rFonts w:ascii="Times New Roman" w:hAnsi="Times New Roman" w:cs="Times New Roman"/>
          <w:sz w:val="24"/>
          <w:szCs w:val="24"/>
        </w:rPr>
        <w:t>The experi</w:t>
      </w:r>
      <w:r w:rsidRPr="006D2D9D">
        <w:rPr>
          <w:rFonts w:ascii="Times New Roman" w:hAnsi="Times New Roman" w:cs="Times New Roman"/>
          <w:sz w:val="24"/>
          <w:szCs w:val="24"/>
        </w:rPr>
        <w:t>ment was terminated after 45 days and all animals were killed</w:t>
      </w:r>
      <w:r w:rsidR="00CE1776">
        <w:rPr>
          <w:rFonts w:ascii="Times New Roman" w:hAnsi="Times New Roman" w:cs="Times New Roman"/>
          <w:sz w:val="24"/>
          <w:szCs w:val="24"/>
        </w:rPr>
        <w:t xml:space="preserve"> by</w:t>
      </w:r>
      <w:r w:rsidR="0035092C" w:rsidRPr="0035092C">
        <w:rPr>
          <w:rFonts w:ascii="Times New Roman" w:hAnsi="Times New Roman" w:cs="Times New Roman"/>
          <w:sz w:val="24"/>
          <w:szCs w:val="24"/>
        </w:rPr>
        <w:t xml:space="preserve"> </w:t>
      </w:r>
      <w:r w:rsidR="0035092C" w:rsidRPr="006D2D9D">
        <w:rPr>
          <w:rFonts w:ascii="Times New Roman" w:hAnsi="Times New Roman" w:cs="Times New Roman"/>
          <w:sz w:val="24"/>
          <w:szCs w:val="24"/>
        </w:rPr>
        <w:t>cervical decapitation. Blood samples</w:t>
      </w:r>
      <w:r w:rsidR="00CE1776">
        <w:rPr>
          <w:rFonts w:ascii="Times New Roman" w:hAnsi="Times New Roman" w:cs="Times New Roman"/>
          <w:sz w:val="24"/>
          <w:szCs w:val="24"/>
        </w:rPr>
        <w:t xml:space="preserve"> were collected from each group</w:t>
      </w:r>
      <w:r w:rsidR="0035092C" w:rsidRPr="006D2D9D">
        <w:rPr>
          <w:rFonts w:ascii="Times New Roman" w:hAnsi="Times New Roman" w:cs="Times New Roman"/>
          <w:sz w:val="24"/>
          <w:szCs w:val="24"/>
        </w:rPr>
        <w:t xml:space="preserve"> of rats. Biochemical</w:t>
      </w:r>
      <w:r w:rsidR="0035092C">
        <w:rPr>
          <w:rFonts w:ascii="Times New Roman" w:hAnsi="Times New Roman" w:cs="Times New Roman"/>
          <w:sz w:val="24"/>
          <w:szCs w:val="24"/>
        </w:rPr>
        <w:t xml:space="preserve"> determinations were done</w:t>
      </w:r>
      <w:r w:rsidRPr="006D2D9D">
        <w:rPr>
          <w:rFonts w:ascii="Times New Roman" w:hAnsi="Times New Roman" w:cs="Times New Roman"/>
          <w:sz w:val="24"/>
          <w:szCs w:val="24"/>
        </w:rPr>
        <w:t xml:space="preserve"> by t</w:t>
      </w:r>
      <w:r w:rsidR="0018615A">
        <w:rPr>
          <w:rFonts w:ascii="Times New Roman" w:hAnsi="Times New Roman" w:cs="Times New Roman"/>
          <w:sz w:val="24"/>
          <w:szCs w:val="24"/>
        </w:rPr>
        <w:t>he methods mentioned in Table 1</w:t>
      </w:r>
    </w:p>
    <w:p w:rsidR="00810BAE" w:rsidRPr="006D2D9D" w:rsidRDefault="00810BAE" w:rsidP="00700FF0">
      <w:pPr>
        <w:jc w:val="both"/>
        <w:rPr>
          <w:rFonts w:ascii="Times New Roman" w:hAnsi="Times New Roman" w:cs="Times New Roman"/>
          <w:sz w:val="24"/>
          <w:szCs w:val="24"/>
        </w:rPr>
      </w:pPr>
      <w:r w:rsidRPr="006D2D9D">
        <w:rPr>
          <w:rFonts w:ascii="Times New Roman" w:hAnsi="Times New Roman" w:cs="Times New Roman"/>
          <w:sz w:val="24"/>
          <w:szCs w:val="24"/>
        </w:rPr>
        <w:t xml:space="preserve">The data were </w:t>
      </w:r>
      <w:proofErr w:type="spellStart"/>
      <w:r w:rsidRPr="006D2D9D">
        <w:rPr>
          <w:rFonts w:ascii="Times New Roman" w:hAnsi="Times New Roman" w:cs="Times New Roman"/>
          <w:sz w:val="24"/>
          <w:szCs w:val="24"/>
        </w:rPr>
        <w:t>analysed</w:t>
      </w:r>
      <w:proofErr w:type="spellEnd"/>
      <w:r w:rsidRPr="006D2D9D">
        <w:rPr>
          <w:rFonts w:ascii="Times New Roman" w:hAnsi="Times New Roman" w:cs="Times New Roman"/>
          <w:sz w:val="24"/>
          <w:szCs w:val="24"/>
        </w:rPr>
        <w:t xml:space="preserve"> using an ana</w:t>
      </w:r>
      <w:r>
        <w:rPr>
          <w:rFonts w:ascii="Times New Roman" w:hAnsi="Times New Roman" w:cs="Times New Roman"/>
          <w:sz w:val="24"/>
          <w:szCs w:val="24"/>
        </w:rPr>
        <w:t>lysis of variance (ANOVA) and th</w:t>
      </w:r>
      <w:r w:rsidRPr="006D2D9D">
        <w:rPr>
          <w:rFonts w:ascii="Times New Roman" w:hAnsi="Times New Roman" w:cs="Times New Roman"/>
          <w:sz w:val="24"/>
          <w:szCs w:val="24"/>
        </w:rPr>
        <w:t>e group means were compared by Least Significant Difference (LSD) test. The results were considered statistically significant if the p-value was 0.05 or less.</w:t>
      </w:r>
    </w:p>
    <w:p w:rsidR="008A44E8" w:rsidRPr="006D2D9D" w:rsidRDefault="008A44E8" w:rsidP="00700FF0">
      <w:pPr>
        <w:jc w:val="both"/>
        <w:rPr>
          <w:rFonts w:ascii="Times New Roman" w:hAnsi="Times New Roman" w:cs="Times New Roman"/>
          <w:sz w:val="24"/>
          <w:szCs w:val="24"/>
          <w:vertAlign w:val="superscript"/>
        </w:rPr>
      </w:pPr>
    </w:p>
    <w:p w:rsidR="008A44E8" w:rsidRPr="00FA586B" w:rsidRDefault="00B259BB" w:rsidP="00700FF0">
      <w:pPr>
        <w:jc w:val="both"/>
        <w:rPr>
          <w:rFonts w:ascii="Times New Roman" w:hAnsi="Times New Roman" w:cs="Times New Roman"/>
          <w:b/>
          <w:sz w:val="32"/>
          <w:szCs w:val="32"/>
          <w:vertAlign w:val="superscript"/>
        </w:rPr>
      </w:pPr>
      <w:r w:rsidRPr="00B259BB">
        <w:rPr>
          <w:rFonts w:ascii="Times New Roman" w:hAnsi="Times New Roman" w:cs="Times New Roman"/>
          <w:sz w:val="32"/>
          <w:szCs w:val="32"/>
          <w:vertAlign w:val="superscript"/>
        </w:rPr>
        <w:t>Table1</w:t>
      </w:r>
      <w:r w:rsidRPr="00B259BB">
        <w:rPr>
          <w:rFonts w:ascii="Times New Roman" w:hAnsi="Times New Roman" w:cs="Times New Roman"/>
          <w:b/>
          <w:sz w:val="32"/>
          <w:szCs w:val="32"/>
          <w:vertAlign w:val="superscript"/>
        </w:rPr>
        <w:t>: Biochemical determinations and methods</w:t>
      </w:r>
    </w:p>
    <w:tbl>
      <w:tblPr>
        <w:tblStyle w:val="TableGrid"/>
        <w:tblW w:w="0" w:type="auto"/>
        <w:tblLook w:val="04A0" w:firstRow="1" w:lastRow="0" w:firstColumn="1" w:lastColumn="0" w:noHBand="0" w:noVBand="1"/>
      </w:tblPr>
      <w:tblGrid>
        <w:gridCol w:w="3192"/>
        <w:gridCol w:w="3192"/>
        <w:gridCol w:w="3192"/>
      </w:tblGrid>
      <w:tr w:rsidR="008A44E8" w:rsidRPr="006D2D9D" w:rsidTr="00E036FA">
        <w:trPr>
          <w:trHeight w:val="77"/>
        </w:trPr>
        <w:tc>
          <w:tcPr>
            <w:tcW w:w="3192" w:type="dxa"/>
          </w:tcPr>
          <w:p w:rsidR="008A44E8" w:rsidRPr="00B259BB" w:rsidRDefault="008A44E8" w:rsidP="00700FF0">
            <w:pPr>
              <w:jc w:val="both"/>
              <w:rPr>
                <w:rFonts w:ascii="Times New Roman" w:hAnsi="Times New Roman" w:cs="Times New Roman"/>
                <w:sz w:val="28"/>
                <w:szCs w:val="28"/>
                <w:vertAlign w:val="superscript"/>
              </w:rPr>
            </w:pPr>
            <w:r w:rsidRPr="00B259BB">
              <w:rPr>
                <w:rFonts w:ascii="Times New Roman" w:hAnsi="Times New Roman" w:cs="Times New Roman"/>
                <w:sz w:val="28"/>
                <w:szCs w:val="28"/>
                <w:vertAlign w:val="superscript"/>
              </w:rPr>
              <w:t>Parameter</w:t>
            </w:r>
          </w:p>
        </w:tc>
        <w:tc>
          <w:tcPr>
            <w:tcW w:w="3192" w:type="dxa"/>
          </w:tcPr>
          <w:p w:rsidR="008A44E8" w:rsidRPr="00B259BB" w:rsidRDefault="008A44E8" w:rsidP="00700FF0">
            <w:pPr>
              <w:jc w:val="both"/>
              <w:rPr>
                <w:rFonts w:ascii="Times New Roman" w:hAnsi="Times New Roman" w:cs="Times New Roman"/>
                <w:sz w:val="28"/>
                <w:szCs w:val="28"/>
                <w:vertAlign w:val="superscript"/>
              </w:rPr>
            </w:pPr>
            <w:r w:rsidRPr="00B259BB">
              <w:rPr>
                <w:rFonts w:ascii="Times New Roman" w:hAnsi="Times New Roman" w:cs="Times New Roman"/>
                <w:sz w:val="28"/>
                <w:szCs w:val="28"/>
                <w:vertAlign w:val="superscript"/>
              </w:rPr>
              <w:t>Studies carried out in  Tissue</w:t>
            </w:r>
          </w:p>
        </w:tc>
        <w:tc>
          <w:tcPr>
            <w:tcW w:w="3192" w:type="dxa"/>
          </w:tcPr>
          <w:p w:rsidR="008A44E8" w:rsidRPr="00B259BB" w:rsidRDefault="008A44E8" w:rsidP="00700FF0">
            <w:pPr>
              <w:jc w:val="both"/>
              <w:rPr>
                <w:rFonts w:ascii="Times New Roman" w:hAnsi="Times New Roman" w:cs="Times New Roman"/>
                <w:sz w:val="28"/>
                <w:szCs w:val="28"/>
                <w:vertAlign w:val="superscript"/>
              </w:rPr>
            </w:pPr>
            <w:r w:rsidRPr="00B259BB">
              <w:rPr>
                <w:rFonts w:ascii="Times New Roman" w:hAnsi="Times New Roman" w:cs="Times New Roman"/>
                <w:sz w:val="28"/>
                <w:szCs w:val="28"/>
                <w:vertAlign w:val="superscript"/>
              </w:rPr>
              <w:t>Method</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proofErr w:type="spellStart"/>
            <w:r w:rsidRPr="006D2D9D">
              <w:rPr>
                <w:rFonts w:ascii="Times New Roman" w:hAnsi="Times New Roman" w:cs="Times New Roman"/>
                <w:sz w:val="24"/>
                <w:szCs w:val="24"/>
                <w:vertAlign w:val="superscript"/>
              </w:rPr>
              <w:t>Thiobarbituric</w:t>
            </w:r>
            <w:proofErr w:type="spellEnd"/>
            <w:r w:rsidRPr="006D2D9D">
              <w:rPr>
                <w:rFonts w:ascii="Times New Roman" w:hAnsi="Times New Roman" w:cs="Times New Roman"/>
                <w:sz w:val="24"/>
                <w:szCs w:val="24"/>
                <w:vertAlign w:val="superscript"/>
              </w:rPr>
              <w:t xml:space="preserve"> acid reactive substances</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9F0C83" w:rsidP="00700FF0">
            <w:pPr>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vertAlign w:val="superscript"/>
              </w:rPr>
              <w:t>Nichans</w:t>
            </w:r>
            <w:proofErr w:type="spellEnd"/>
            <w:r>
              <w:rPr>
                <w:rFonts w:ascii="Times New Roman" w:hAnsi="Times New Roman" w:cs="Times New Roman"/>
                <w:sz w:val="24"/>
                <w:szCs w:val="24"/>
                <w:vertAlign w:val="superscript"/>
              </w:rPr>
              <w:t xml:space="preserve"> and Samuelso</w:t>
            </w:r>
            <w:r w:rsidR="005C776E">
              <w:rPr>
                <w:rFonts w:ascii="Times New Roman" w:hAnsi="Times New Roman" w:cs="Times New Roman"/>
                <w:sz w:val="24"/>
                <w:szCs w:val="24"/>
                <w:vertAlign w:val="superscript"/>
              </w:rPr>
              <w:t>n</w:t>
            </w:r>
            <w:r w:rsidR="008A44E8" w:rsidRPr="006D2D9D">
              <w:rPr>
                <w:rFonts w:ascii="Times New Roman" w:hAnsi="Times New Roman" w:cs="Times New Roman"/>
                <w:sz w:val="24"/>
                <w:szCs w:val="24"/>
                <w:vertAlign w:val="superscript"/>
              </w:rPr>
              <w:t xml:space="preserve"> (1951)</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r w:rsidRPr="006D2D9D">
              <w:rPr>
                <w:rFonts w:ascii="Times New Roman" w:hAnsi="Times New Roman" w:cs="Times New Roman"/>
                <w:sz w:val="24"/>
                <w:szCs w:val="24"/>
                <w:vertAlign w:val="superscript"/>
              </w:rPr>
              <w:t>Reduced glutathione</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8A44E8" w:rsidP="00700FF0">
            <w:pPr>
              <w:jc w:val="both"/>
              <w:rPr>
                <w:rFonts w:ascii="Times New Roman" w:hAnsi="Times New Roman" w:cs="Times New Roman"/>
                <w:sz w:val="24"/>
                <w:szCs w:val="24"/>
                <w:vertAlign w:val="superscript"/>
              </w:rPr>
            </w:pPr>
            <w:proofErr w:type="spellStart"/>
            <w:r w:rsidRPr="006D2D9D">
              <w:rPr>
                <w:rFonts w:ascii="Times New Roman" w:hAnsi="Times New Roman" w:cs="Times New Roman"/>
                <w:sz w:val="24"/>
                <w:szCs w:val="24"/>
                <w:vertAlign w:val="superscript"/>
              </w:rPr>
              <w:t>Ellman</w:t>
            </w:r>
            <w:proofErr w:type="spellEnd"/>
            <w:r w:rsidRPr="006D2D9D">
              <w:rPr>
                <w:rFonts w:ascii="Times New Roman" w:hAnsi="Times New Roman" w:cs="Times New Roman"/>
                <w:sz w:val="24"/>
                <w:szCs w:val="24"/>
                <w:vertAlign w:val="superscript"/>
              </w:rPr>
              <w:t xml:space="preserve"> (1959)</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r w:rsidRPr="006D2D9D">
              <w:rPr>
                <w:rFonts w:ascii="Times New Roman" w:hAnsi="Times New Roman" w:cs="Times New Roman"/>
                <w:sz w:val="24"/>
                <w:szCs w:val="24"/>
                <w:vertAlign w:val="superscript"/>
              </w:rPr>
              <w:t>Superoxide dismutase</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1D0380" w:rsidP="00700FF0">
            <w:pPr>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vertAlign w:val="superscript"/>
              </w:rPr>
              <w:t>Kakka</w:t>
            </w:r>
            <w:r w:rsidR="008A44E8" w:rsidRPr="006D2D9D">
              <w:rPr>
                <w:rFonts w:ascii="Times New Roman" w:hAnsi="Times New Roman" w:cs="Times New Roman"/>
                <w:sz w:val="24"/>
                <w:szCs w:val="24"/>
                <w:vertAlign w:val="superscript"/>
              </w:rPr>
              <w:t>r</w:t>
            </w:r>
            <w:proofErr w:type="spellEnd"/>
            <w:r w:rsidR="008A44E8" w:rsidRPr="006D2D9D">
              <w:rPr>
                <w:rFonts w:ascii="Times New Roman" w:hAnsi="Times New Roman" w:cs="Times New Roman"/>
                <w:sz w:val="24"/>
                <w:szCs w:val="24"/>
                <w:vertAlign w:val="superscript"/>
              </w:rPr>
              <w:t xml:space="preserve"> et al. (1984)</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r w:rsidRPr="006D2D9D">
              <w:rPr>
                <w:rFonts w:ascii="Times New Roman" w:hAnsi="Times New Roman" w:cs="Times New Roman"/>
                <w:sz w:val="24"/>
                <w:szCs w:val="24"/>
                <w:vertAlign w:val="superscript"/>
              </w:rPr>
              <w:t>Catal</w:t>
            </w:r>
            <w:r w:rsidR="00CE1776">
              <w:rPr>
                <w:rFonts w:ascii="Times New Roman" w:hAnsi="Times New Roman" w:cs="Times New Roman"/>
                <w:sz w:val="24"/>
                <w:szCs w:val="24"/>
                <w:vertAlign w:val="superscript"/>
              </w:rPr>
              <w:t>a</w:t>
            </w:r>
            <w:r w:rsidRPr="006D2D9D">
              <w:rPr>
                <w:rFonts w:ascii="Times New Roman" w:hAnsi="Times New Roman" w:cs="Times New Roman"/>
                <w:sz w:val="24"/>
                <w:szCs w:val="24"/>
                <w:vertAlign w:val="superscript"/>
              </w:rPr>
              <w:t>se</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sidRPr="006D2D9D">
              <w:rPr>
                <w:rFonts w:ascii="Times New Roman" w:hAnsi="Times New Roman" w:cs="Times New Roman"/>
                <w:sz w:val="24"/>
                <w:szCs w:val="24"/>
                <w:vertAlign w:val="superscript"/>
              </w:rPr>
              <w:t>Sinha (1972)</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r w:rsidRPr="006D2D9D">
              <w:rPr>
                <w:rFonts w:ascii="Times New Roman" w:hAnsi="Times New Roman" w:cs="Times New Roman"/>
                <w:sz w:val="24"/>
                <w:szCs w:val="24"/>
                <w:vertAlign w:val="superscript"/>
              </w:rPr>
              <w:t xml:space="preserve">Glutathione </w:t>
            </w:r>
            <w:r w:rsidR="00BB4B43">
              <w:rPr>
                <w:rFonts w:ascii="Times New Roman" w:hAnsi="Times New Roman" w:cs="Times New Roman"/>
                <w:sz w:val="24"/>
                <w:szCs w:val="24"/>
                <w:vertAlign w:val="superscript"/>
              </w:rPr>
              <w:t xml:space="preserve"> </w:t>
            </w:r>
            <w:r w:rsidRPr="006D2D9D">
              <w:rPr>
                <w:rFonts w:ascii="Times New Roman" w:hAnsi="Times New Roman" w:cs="Times New Roman"/>
                <w:sz w:val="24"/>
                <w:szCs w:val="24"/>
                <w:vertAlign w:val="superscript"/>
              </w:rPr>
              <w:t>peroxidase</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8A44E8" w:rsidP="00700FF0">
            <w:pPr>
              <w:jc w:val="both"/>
              <w:rPr>
                <w:rFonts w:ascii="Times New Roman" w:hAnsi="Times New Roman" w:cs="Times New Roman"/>
                <w:sz w:val="24"/>
                <w:szCs w:val="24"/>
                <w:vertAlign w:val="superscript"/>
              </w:rPr>
            </w:pPr>
            <w:proofErr w:type="spellStart"/>
            <w:r w:rsidRPr="006D2D9D">
              <w:rPr>
                <w:rFonts w:ascii="Times New Roman" w:hAnsi="Times New Roman" w:cs="Times New Roman"/>
                <w:sz w:val="24"/>
                <w:szCs w:val="24"/>
                <w:vertAlign w:val="superscript"/>
              </w:rPr>
              <w:t>Rotruck</w:t>
            </w:r>
            <w:proofErr w:type="spellEnd"/>
            <w:r w:rsidRPr="006D2D9D">
              <w:rPr>
                <w:rFonts w:ascii="Times New Roman" w:hAnsi="Times New Roman" w:cs="Times New Roman"/>
                <w:sz w:val="24"/>
                <w:szCs w:val="24"/>
                <w:vertAlign w:val="superscript"/>
              </w:rPr>
              <w:t xml:space="preserve"> et al. (1973)</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r w:rsidRPr="006D2D9D">
              <w:rPr>
                <w:rFonts w:ascii="Times New Roman" w:hAnsi="Times New Roman" w:cs="Times New Roman"/>
                <w:sz w:val="24"/>
                <w:szCs w:val="24"/>
                <w:vertAlign w:val="superscript"/>
              </w:rPr>
              <w:t>Free fatty acids</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8A44E8" w:rsidP="00700FF0">
            <w:pPr>
              <w:jc w:val="both"/>
              <w:rPr>
                <w:rFonts w:ascii="Times New Roman" w:hAnsi="Times New Roman" w:cs="Times New Roman"/>
                <w:sz w:val="24"/>
                <w:szCs w:val="24"/>
                <w:vertAlign w:val="superscript"/>
              </w:rPr>
            </w:pPr>
            <w:proofErr w:type="spellStart"/>
            <w:r w:rsidRPr="006D2D9D">
              <w:rPr>
                <w:rFonts w:ascii="Times New Roman" w:hAnsi="Times New Roman" w:cs="Times New Roman"/>
                <w:sz w:val="24"/>
                <w:szCs w:val="24"/>
                <w:vertAlign w:val="superscript"/>
              </w:rPr>
              <w:t>Fa</w:t>
            </w:r>
            <w:r w:rsidR="00B3254B">
              <w:rPr>
                <w:rFonts w:ascii="Times New Roman" w:hAnsi="Times New Roman" w:cs="Times New Roman"/>
                <w:sz w:val="24"/>
                <w:szCs w:val="24"/>
                <w:vertAlign w:val="superscript"/>
              </w:rPr>
              <w:t>l</w:t>
            </w:r>
            <w:r w:rsidRPr="006D2D9D">
              <w:rPr>
                <w:rFonts w:ascii="Times New Roman" w:hAnsi="Times New Roman" w:cs="Times New Roman"/>
                <w:sz w:val="24"/>
                <w:szCs w:val="24"/>
                <w:vertAlign w:val="superscript"/>
              </w:rPr>
              <w:t>holt</w:t>
            </w:r>
            <w:proofErr w:type="spellEnd"/>
            <w:r w:rsidRPr="006D2D9D">
              <w:rPr>
                <w:rFonts w:ascii="Times New Roman" w:hAnsi="Times New Roman" w:cs="Times New Roman"/>
                <w:sz w:val="24"/>
                <w:szCs w:val="24"/>
                <w:vertAlign w:val="superscript"/>
              </w:rPr>
              <w:t xml:space="preserve"> et al (1973)</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r w:rsidRPr="006D2D9D">
              <w:rPr>
                <w:rFonts w:ascii="Times New Roman" w:hAnsi="Times New Roman" w:cs="Times New Roman"/>
                <w:sz w:val="24"/>
                <w:szCs w:val="24"/>
                <w:vertAlign w:val="superscript"/>
              </w:rPr>
              <w:t>Phospholipids</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8A44E8" w:rsidP="00700FF0">
            <w:pPr>
              <w:jc w:val="both"/>
              <w:rPr>
                <w:rFonts w:ascii="Times New Roman" w:hAnsi="Times New Roman" w:cs="Times New Roman"/>
                <w:sz w:val="24"/>
                <w:szCs w:val="24"/>
                <w:vertAlign w:val="superscript"/>
              </w:rPr>
            </w:pPr>
            <w:proofErr w:type="spellStart"/>
            <w:r w:rsidRPr="006D2D9D">
              <w:rPr>
                <w:rFonts w:ascii="Times New Roman" w:hAnsi="Times New Roman" w:cs="Times New Roman"/>
                <w:sz w:val="24"/>
                <w:szCs w:val="24"/>
                <w:vertAlign w:val="superscript"/>
              </w:rPr>
              <w:t>Zilversmit</w:t>
            </w:r>
            <w:proofErr w:type="spellEnd"/>
            <w:r w:rsidRPr="006D2D9D">
              <w:rPr>
                <w:rFonts w:ascii="Times New Roman" w:hAnsi="Times New Roman" w:cs="Times New Roman"/>
                <w:sz w:val="24"/>
                <w:szCs w:val="24"/>
                <w:vertAlign w:val="superscript"/>
              </w:rPr>
              <w:t xml:space="preserve"> et al. (1950)</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proofErr w:type="spellStart"/>
            <w:r w:rsidRPr="006D2D9D">
              <w:rPr>
                <w:rFonts w:ascii="Times New Roman" w:hAnsi="Times New Roman" w:cs="Times New Roman"/>
                <w:sz w:val="24"/>
                <w:szCs w:val="24"/>
                <w:vertAlign w:val="superscript"/>
              </w:rPr>
              <w:t>Triglicerides</w:t>
            </w:r>
            <w:proofErr w:type="spellEnd"/>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8A44E8" w:rsidP="00700FF0">
            <w:pPr>
              <w:jc w:val="both"/>
              <w:rPr>
                <w:rFonts w:ascii="Times New Roman" w:hAnsi="Times New Roman" w:cs="Times New Roman"/>
                <w:sz w:val="24"/>
                <w:szCs w:val="24"/>
                <w:vertAlign w:val="superscript"/>
              </w:rPr>
            </w:pPr>
            <w:r w:rsidRPr="006D2D9D">
              <w:rPr>
                <w:rFonts w:ascii="Times New Roman" w:hAnsi="Times New Roman" w:cs="Times New Roman"/>
                <w:sz w:val="24"/>
                <w:szCs w:val="24"/>
                <w:vertAlign w:val="superscript"/>
              </w:rPr>
              <w:t>Foster and Dunn (1973)</w:t>
            </w:r>
          </w:p>
        </w:tc>
      </w:tr>
      <w:tr w:rsidR="008A44E8" w:rsidRPr="006D2D9D" w:rsidTr="00E036FA">
        <w:tc>
          <w:tcPr>
            <w:tcW w:w="3192" w:type="dxa"/>
          </w:tcPr>
          <w:p w:rsidR="008A44E8" w:rsidRPr="006D2D9D" w:rsidRDefault="008A44E8" w:rsidP="00700FF0">
            <w:pPr>
              <w:jc w:val="both"/>
              <w:rPr>
                <w:rFonts w:ascii="Times New Roman" w:hAnsi="Times New Roman" w:cs="Times New Roman"/>
                <w:sz w:val="24"/>
                <w:szCs w:val="24"/>
                <w:vertAlign w:val="superscript"/>
              </w:rPr>
            </w:pPr>
            <w:proofErr w:type="spellStart"/>
            <w:r w:rsidRPr="006D2D9D">
              <w:rPr>
                <w:rFonts w:ascii="Times New Roman" w:hAnsi="Times New Roman" w:cs="Times New Roman"/>
                <w:sz w:val="24"/>
                <w:szCs w:val="24"/>
                <w:vertAlign w:val="superscript"/>
              </w:rPr>
              <w:t>Cholestrol</w:t>
            </w:r>
            <w:proofErr w:type="spellEnd"/>
          </w:p>
        </w:tc>
        <w:tc>
          <w:tcPr>
            <w:tcW w:w="3192" w:type="dxa"/>
          </w:tcPr>
          <w:p w:rsidR="008A44E8" w:rsidRPr="006D2D9D" w:rsidRDefault="008A44E8" w:rsidP="00700FF0">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liver</w:t>
            </w:r>
          </w:p>
        </w:tc>
        <w:tc>
          <w:tcPr>
            <w:tcW w:w="3192" w:type="dxa"/>
          </w:tcPr>
          <w:p w:rsidR="008A44E8" w:rsidRPr="006D2D9D" w:rsidRDefault="008A44E8" w:rsidP="00700FF0">
            <w:pPr>
              <w:jc w:val="both"/>
              <w:rPr>
                <w:rFonts w:ascii="Times New Roman" w:hAnsi="Times New Roman" w:cs="Times New Roman"/>
                <w:sz w:val="24"/>
                <w:szCs w:val="24"/>
                <w:vertAlign w:val="superscript"/>
              </w:rPr>
            </w:pPr>
            <w:proofErr w:type="spellStart"/>
            <w:r w:rsidRPr="006D2D9D">
              <w:rPr>
                <w:rFonts w:ascii="Times New Roman" w:hAnsi="Times New Roman" w:cs="Times New Roman"/>
                <w:sz w:val="24"/>
                <w:szCs w:val="24"/>
                <w:vertAlign w:val="superscript"/>
              </w:rPr>
              <w:t>Zlatkis</w:t>
            </w:r>
            <w:proofErr w:type="spellEnd"/>
            <w:r w:rsidRPr="006D2D9D">
              <w:rPr>
                <w:rFonts w:ascii="Times New Roman" w:hAnsi="Times New Roman" w:cs="Times New Roman"/>
                <w:sz w:val="24"/>
                <w:szCs w:val="24"/>
                <w:vertAlign w:val="superscript"/>
              </w:rPr>
              <w:t xml:space="preserve"> et al. (1953)</w:t>
            </w:r>
          </w:p>
        </w:tc>
      </w:tr>
    </w:tbl>
    <w:p w:rsidR="008A44E8" w:rsidRDefault="008A44E8" w:rsidP="00700FF0">
      <w:pPr>
        <w:jc w:val="both"/>
      </w:pPr>
    </w:p>
    <w:p w:rsidR="00573211" w:rsidRDefault="00573211" w:rsidP="00700FF0">
      <w:pPr>
        <w:jc w:val="both"/>
        <w:rPr>
          <w:rFonts w:ascii="Times New Roman" w:hAnsi="Times New Roman" w:cs="Times New Roman"/>
          <w:sz w:val="24"/>
          <w:szCs w:val="24"/>
        </w:rPr>
      </w:pPr>
    </w:p>
    <w:p w:rsidR="00483C36" w:rsidRDefault="00B259BB" w:rsidP="00700FF0">
      <w:pPr>
        <w:jc w:val="both"/>
      </w:pPr>
      <w:r w:rsidRPr="00B259BB">
        <w:t xml:space="preserve"> Results and </w:t>
      </w:r>
      <w:r w:rsidR="00483C36" w:rsidRPr="00B259BB">
        <w:t>Discussion</w:t>
      </w:r>
    </w:p>
    <w:p w:rsidR="00EE1C84" w:rsidRPr="00B259BB" w:rsidRDefault="00EE1C84" w:rsidP="00700FF0">
      <w:pPr>
        <w:jc w:val="both"/>
      </w:pPr>
    </w:p>
    <w:p w:rsidR="00483C36" w:rsidRDefault="00483C36" w:rsidP="00700FF0">
      <w:pPr>
        <w:jc w:val="both"/>
        <w:rPr>
          <w:sz w:val="24"/>
          <w:szCs w:val="24"/>
        </w:rPr>
      </w:pPr>
      <w:r w:rsidRPr="006D2D9D">
        <w:rPr>
          <w:sz w:val="24"/>
          <w:szCs w:val="24"/>
        </w:rPr>
        <w:t xml:space="preserve">             Ammonia is removed either in the form of urea in </w:t>
      </w:r>
      <w:proofErr w:type="spellStart"/>
      <w:r w:rsidRPr="006D2D9D">
        <w:rPr>
          <w:sz w:val="24"/>
          <w:szCs w:val="24"/>
        </w:rPr>
        <w:t>periportal</w:t>
      </w:r>
      <w:proofErr w:type="spellEnd"/>
      <w:r w:rsidRPr="006D2D9D">
        <w:rPr>
          <w:sz w:val="24"/>
          <w:szCs w:val="24"/>
        </w:rPr>
        <w:t xml:space="preserve"> </w:t>
      </w:r>
      <w:proofErr w:type="spellStart"/>
      <w:r w:rsidRPr="006D2D9D">
        <w:rPr>
          <w:sz w:val="24"/>
          <w:szCs w:val="24"/>
        </w:rPr>
        <w:t>hepataocytes</w:t>
      </w:r>
      <w:proofErr w:type="spellEnd"/>
      <w:r w:rsidRPr="006D2D9D">
        <w:rPr>
          <w:sz w:val="24"/>
          <w:szCs w:val="24"/>
        </w:rPr>
        <w:t xml:space="preserve"> and/or as glutamine in </w:t>
      </w:r>
      <w:proofErr w:type="spellStart"/>
      <w:r w:rsidRPr="006D2D9D">
        <w:rPr>
          <w:sz w:val="24"/>
          <w:szCs w:val="24"/>
        </w:rPr>
        <w:t>perivenous</w:t>
      </w:r>
      <w:proofErr w:type="spellEnd"/>
      <w:r w:rsidRPr="006D2D9D">
        <w:rPr>
          <w:sz w:val="24"/>
          <w:szCs w:val="24"/>
        </w:rPr>
        <w:t xml:space="preserve"> hepatocytes (Nelson and Cox 2000) Elevated levels of ammonia, in ammonium acetate treated rats may be due to the tissue damage caused by ammonia induced free radic</w:t>
      </w:r>
      <w:r w:rsidR="00484046">
        <w:rPr>
          <w:sz w:val="24"/>
          <w:szCs w:val="24"/>
        </w:rPr>
        <w:t>al generation, leading to oxidat</w:t>
      </w:r>
      <w:r w:rsidRPr="006D2D9D">
        <w:rPr>
          <w:sz w:val="24"/>
          <w:szCs w:val="24"/>
        </w:rPr>
        <w:t>ive stress and tissue damage (</w:t>
      </w:r>
      <w:proofErr w:type="spellStart"/>
      <w:r w:rsidRPr="006D2D9D">
        <w:rPr>
          <w:sz w:val="24"/>
          <w:szCs w:val="24"/>
        </w:rPr>
        <w:t>Kosenko</w:t>
      </w:r>
      <w:proofErr w:type="spellEnd"/>
      <w:r w:rsidRPr="006D2D9D">
        <w:rPr>
          <w:sz w:val="24"/>
          <w:szCs w:val="24"/>
        </w:rPr>
        <w:t xml:space="preserve"> et al. 2000;</w:t>
      </w:r>
      <w:r w:rsidR="0010044F">
        <w:rPr>
          <w:sz w:val="24"/>
          <w:szCs w:val="24"/>
        </w:rPr>
        <w:t xml:space="preserve"> </w:t>
      </w:r>
      <w:proofErr w:type="spellStart"/>
      <w:r w:rsidRPr="006D2D9D">
        <w:rPr>
          <w:sz w:val="24"/>
          <w:szCs w:val="24"/>
        </w:rPr>
        <w:t>Dakshayani</w:t>
      </w:r>
      <w:proofErr w:type="spellEnd"/>
      <w:r w:rsidRPr="006D2D9D">
        <w:rPr>
          <w:sz w:val="24"/>
          <w:szCs w:val="24"/>
        </w:rPr>
        <w:t xml:space="preserve"> et al. 2002; </w:t>
      </w:r>
      <w:proofErr w:type="spellStart"/>
      <w:r w:rsidRPr="006D2D9D">
        <w:rPr>
          <w:sz w:val="24"/>
          <w:szCs w:val="24"/>
        </w:rPr>
        <w:t>Vidya</w:t>
      </w:r>
      <w:proofErr w:type="spellEnd"/>
      <w:r w:rsidRPr="006D2D9D">
        <w:rPr>
          <w:sz w:val="24"/>
          <w:szCs w:val="24"/>
        </w:rPr>
        <w:t xml:space="preserve"> et al.2003). Melatonin is an effective free radical scavenger (Reiter et al. 1999),</w:t>
      </w:r>
      <w:r w:rsidR="00484046">
        <w:rPr>
          <w:sz w:val="24"/>
          <w:szCs w:val="24"/>
        </w:rPr>
        <w:t xml:space="preserve"> </w:t>
      </w:r>
      <w:r w:rsidRPr="006D2D9D">
        <w:rPr>
          <w:sz w:val="24"/>
          <w:szCs w:val="24"/>
        </w:rPr>
        <w:t xml:space="preserve">which by its antioxidant potential decreases the </w:t>
      </w:r>
      <w:r w:rsidRPr="00ED3FD9">
        <w:rPr>
          <w:sz w:val="24"/>
          <w:szCs w:val="24"/>
          <w:highlight w:val="yellow"/>
        </w:rPr>
        <w:t>ammonia</w:t>
      </w:r>
      <w:r w:rsidR="00442A97" w:rsidRPr="00442A97">
        <w:rPr>
          <w:sz w:val="24"/>
          <w:szCs w:val="24"/>
          <w:highlight w:val="yellow"/>
        </w:rPr>
        <w:t xml:space="preserve"> </w:t>
      </w:r>
      <w:r w:rsidR="00442A97" w:rsidRPr="00ED3FD9">
        <w:rPr>
          <w:sz w:val="24"/>
          <w:szCs w:val="24"/>
          <w:highlight w:val="yellow"/>
        </w:rPr>
        <w:t>levels of</w:t>
      </w:r>
      <w:r w:rsidRPr="00ED3FD9">
        <w:rPr>
          <w:sz w:val="24"/>
          <w:szCs w:val="24"/>
          <w:highlight w:val="yellow"/>
        </w:rPr>
        <w:t>,  Under</w:t>
      </w:r>
      <w:r w:rsidR="00FB777E" w:rsidRPr="00ED3FD9">
        <w:rPr>
          <w:sz w:val="24"/>
          <w:szCs w:val="24"/>
          <w:highlight w:val="yellow"/>
        </w:rPr>
        <w:t xml:space="preserve"> </w:t>
      </w:r>
      <w:r w:rsidR="00484046" w:rsidRPr="00ED3FD9">
        <w:rPr>
          <w:sz w:val="24"/>
          <w:szCs w:val="24"/>
          <w:highlight w:val="yellow"/>
        </w:rPr>
        <w:t xml:space="preserve"> </w:t>
      </w:r>
      <w:proofErr w:type="spellStart"/>
      <w:r w:rsidRPr="00ED3FD9">
        <w:rPr>
          <w:sz w:val="24"/>
          <w:szCs w:val="24"/>
          <w:highlight w:val="yellow"/>
        </w:rPr>
        <w:t>hyperammonemic</w:t>
      </w:r>
      <w:proofErr w:type="spellEnd"/>
      <w:r w:rsidRPr="00ED3FD9">
        <w:rPr>
          <w:sz w:val="24"/>
          <w:szCs w:val="24"/>
          <w:highlight w:val="yellow"/>
        </w:rPr>
        <w:t xml:space="preserve"> conditions, elevated levels of ammonia result in the production of free radicals such as</w:t>
      </w:r>
      <w:r w:rsidRPr="006D2D9D">
        <w:rPr>
          <w:sz w:val="24"/>
          <w:szCs w:val="24"/>
        </w:rPr>
        <w:t xml:space="preserve"> hydroxyl radicals, superoxide radicals, </w:t>
      </w:r>
      <w:proofErr w:type="spellStart"/>
      <w:r w:rsidRPr="006D2D9D">
        <w:rPr>
          <w:sz w:val="24"/>
          <w:szCs w:val="24"/>
        </w:rPr>
        <w:t>peroxyl</w:t>
      </w:r>
      <w:proofErr w:type="spellEnd"/>
      <w:r w:rsidRPr="006D2D9D">
        <w:rPr>
          <w:sz w:val="24"/>
          <w:szCs w:val="24"/>
        </w:rPr>
        <w:t xml:space="preserve"> radicals, </w:t>
      </w:r>
      <w:proofErr w:type="spellStart"/>
      <w:r w:rsidRPr="006D2D9D">
        <w:rPr>
          <w:sz w:val="24"/>
          <w:szCs w:val="24"/>
        </w:rPr>
        <w:t>alkoxyl</w:t>
      </w:r>
      <w:proofErr w:type="spellEnd"/>
      <w:r w:rsidRPr="006D2D9D">
        <w:rPr>
          <w:sz w:val="24"/>
          <w:szCs w:val="24"/>
        </w:rPr>
        <w:t xml:space="preserve"> radicals and reactive nitrogen species. </w:t>
      </w:r>
    </w:p>
    <w:p w:rsidR="00EE1C84" w:rsidRPr="006762B7" w:rsidRDefault="00EE1C84" w:rsidP="00700FF0">
      <w:pPr>
        <w:jc w:val="both"/>
        <w:rPr>
          <w:szCs w:val="24"/>
        </w:rPr>
      </w:pPr>
      <w:r w:rsidRPr="006D2D9D">
        <w:rPr>
          <w:sz w:val="24"/>
          <w:szCs w:val="24"/>
        </w:rPr>
        <w:t>TABLE</w:t>
      </w:r>
      <w:r w:rsidR="00FA586B" w:rsidRPr="006D2D9D">
        <w:rPr>
          <w:sz w:val="24"/>
          <w:szCs w:val="24"/>
        </w:rPr>
        <w:t>:</w:t>
      </w:r>
      <w:r w:rsidR="00FA586B">
        <w:rPr>
          <w:sz w:val="24"/>
          <w:szCs w:val="24"/>
        </w:rPr>
        <w:t xml:space="preserve"> 2</w:t>
      </w:r>
    </w:p>
    <w:p w:rsidR="00EE1C84" w:rsidRPr="00ED3FD9" w:rsidRDefault="00EE1C84" w:rsidP="00700FF0">
      <w:pPr>
        <w:jc w:val="both"/>
      </w:pPr>
      <w:r w:rsidRPr="00505A42">
        <w:t>Changes in the levels of TBARS and antioxidants in liver</w:t>
      </w:r>
    </w:p>
    <w:p w:rsidR="00176903" w:rsidRDefault="00176903" w:rsidP="00700FF0">
      <w:pPr>
        <w:jc w:val="both"/>
      </w:pPr>
    </w:p>
    <w:tbl>
      <w:tblPr>
        <w:tblStyle w:val="TableGrid"/>
        <w:tblW w:w="0" w:type="auto"/>
        <w:tblLook w:val="04A0" w:firstRow="1" w:lastRow="0" w:firstColumn="1" w:lastColumn="0" w:noHBand="0" w:noVBand="1"/>
      </w:tblPr>
      <w:tblGrid>
        <w:gridCol w:w="2768"/>
        <w:gridCol w:w="1701"/>
        <w:gridCol w:w="1702"/>
        <w:gridCol w:w="1702"/>
        <w:gridCol w:w="1703"/>
      </w:tblGrid>
      <w:tr w:rsidR="00176903" w:rsidRPr="00137AD3" w:rsidTr="003C4E52">
        <w:trPr>
          <w:trHeight w:val="323"/>
        </w:trPr>
        <w:tc>
          <w:tcPr>
            <w:tcW w:w="2768" w:type="dxa"/>
          </w:tcPr>
          <w:p w:rsidR="00176903" w:rsidRPr="00137AD3" w:rsidRDefault="00176903" w:rsidP="00700FF0">
            <w:pPr>
              <w:jc w:val="both"/>
              <w:rPr>
                <w:sz w:val="24"/>
                <w:szCs w:val="24"/>
                <w:vertAlign w:val="subscript"/>
              </w:rPr>
            </w:pPr>
            <w:r w:rsidRPr="00137AD3">
              <w:rPr>
                <w:sz w:val="24"/>
                <w:szCs w:val="24"/>
                <w:vertAlign w:val="subscript"/>
              </w:rPr>
              <w:t>Parameter</w:t>
            </w:r>
          </w:p>
        </w:tc>
        <w:tc>
          <w:tcPr>
            <w:tcW w:w="1701" w:type="dxa"/>
          </w:tcPr>
          <w:p w:rsidR="00176903" w:rsidRPr="00484046" w:rsidRDefault="00ED3FD9" w:rsidP="00700FF0">
            <w:pPr>
              <w:jc w:val="both"/>
              <w:rPr>
                <w:sz w:val="24"/>
                <w:szCs w:val="24"/>
                <w:vertAlign w:val="subscript"/>
              </w:rPr>
            </w:pPr>
            <w:r>
              <w:rPr>
                <w:sz w:val="24"/>
                <w:szCs w:val="24"/>
                <w:vertAlign w:val="subscript"/>
              </w:rPr>
              <w:t xml:space="preserve">Group </w:t>
            </w:r>
            <w:r w:rsidR="00442A97">
              <w:rPr>
                <w:sz w:val="24"/>
                <w:szCs w:val="24"/>
                <w:vertAlign w:val="subscript"/>
              </w:rPr>
              <w:t>I</w:t>
            </w:r>
          </w:p>
        </w:tc>
        <w:tc>
          <w:tcPr>
            <w:tcW w:w="1702" w:type="dxa"/>
          </w:tcPr>
          <w:p w:rsidR="00176903" w:rsidRPr="000F5B94" w:rsidRDefault="00ED3FD9" w:rsidP="00700FF0">
            <w:pPr>
              <w:jc w:val="both"/>
            </w:pPr>
            <w:r>
              <w:t xml:space="preserve">Group </w:t>
            </w:r>
            <w:r w:rsidR="00442A97">
              <w:t>II</w:t>
            </w:r>
          </w:p>
        </w:tc>
        <w:tc>
          <w:tcPr>
            <w:tcW w:w="1702" w:type="dxa"/>
          </w:tcPr>
          <w:p w:rsidR="00176903" w:rsidRPr="000F5B94" w:rsidRDefault="00ED3FD9" w:rsidP="00700FF0">
            <w:pPr>
              <w:jc w:val="both"/>
            </w:pPr>
            <w:r>
              <w:t xml:space="preserve">Group </w:t>
            </w:r>
            <w:r w:rsidR="00442A97">
              <w:t>III</w:t>
            </w:r>
          </w:p>
        </w:tc>
        <w:tc>
          <w:tcPr>
            <w:tcW w:w="1703" w:type="dxa"/>
          </w:tcPr>
          <w:p w:rsidR="00176903" w:rsidRPr="00484046" w:rsidRDefault="00ED3FD9" w:rsidP="00700FF0">
            <w:pPr>
              <w:jc w:val="both"/>
              <w:rPr>
                <w:sz w:val="24"/>
                <w:szCs w:val="24"/>
                <w:vertAlign w:val="superscript"/>
              </w:rPr>
            </w:pPr>
            <w:proofErr w:type="spellStart"/>
            <w:r>
              <w:rPr>
                <w:sz w:val="24"/>
                <w:szCs w:val="24"/>
                <w:vertAlign w:val="superscript"/>
              </w:rPr>
              <w:t>Group</w:t>
            </w:r>
            <w:r w:rsidR="00442A97">
              <w:rPr>
                <w:sz w:val="24"/>
                <w:szCs w:val="24"/>
                <w:vertAlign w:val="superscript"/>
              </w:rPr>
              <w:t>IV</w:t>
            </w:r>
            <w:proofErr w:type="spellEnd"/>
          </w:p>
        </w:tc>
      </w:tr>
      <w:tr w:rsidR="00176903" w:rsidTr="003C4E52">
        <w:tc>
          <w:tcPr>
            <w:tcW w:w="2768" w:type="dxa"/>
          </w:tcPr>
          <w:p w:rsidR="00176903" w:rsidRDefault="00176903" w:rsidP="00700FF0">
            <w:pPr>
              <w:jc w:val="both"/>
            </w:pPr>
            <w:r>
              <w:t>TBARS</w:t>
            </w:r>
          </w:p>
          <w:p w:rsidR="00176903" w:rsidRDefault="00176903" w:rsidP="00700FF0">
            <w:pPr>
              <w:jc w:val="both"/>
            </w:pPr>
            <w:r>
              <w:t>(</w:t>
            </w:r>
            <w:proofErr w:type="spellStart"/>
            <w:r>
              <w:t>nmoles</w:t>
            </w:r>
            <w:proofErr w:type="spellEnd"/>
            <w:r w:rsidR="00484046">
              <w:t xml:space="preserve"> </w:t>
            </w:r>
            <w:r>
              <w:t>/100g tissue)</w:t>
            </w:r>
          </w:p>
        </w:tc>
        <w:tc>
          <w:tcPr>
            <w:tcW w:w="1701" w:type="dxa"/>
          </w:tcPr>
          <w:p w:rsidR="00176903" w:rsidRDefault="00176903" w:rsidP="00700FF0">
            <w:pPr>
              <w:jc w:val="both"/>
            </w:pPr>
            <w:r>
              <w:t>1.77  ±    0.08</w:t>
            </w:r>
          </w:p>
        </w:tc>
        <w:tc>
          <w:tcPr>
            <w:tcW w:w="1702" w:type="dxa"/>
          </w:tcPr>
          <w:p w:rsidR="00176903" w:rsidRPr="0010044F" w:rsidRDefault="00176903" w:rsidP="00700FF0">
            <w:pPr>
              <w:jc w:val="both"/>
              <w:rPr>
                <w:vertAlign w:val="superscript"/>
              </w:rPr>
            </w:pPr>
            <w:r>
              <w:t>3.73  ±   0.32</w:t>
            </w:r>
            <w:r w:rsidR="0010044F">
              <w:rPr>
                <w:vertAlign w:val="superscript"/>
              </w:rPr>
              <w:t>xxx</w:t>
            </w:r>
          </w:p>
        </w:tc>
        <w:tc>
          <w:tcPr>
            <w:tcW w:w="1702" w:type="dxa"/>
          </w:tcPr>
          <w:p w:rsidR="00176903" w:rsidRPr="00C944A8" w:rsidRDefault="00C944A8" w:rsidP="00700FF0">
            <w:pPr>
              <w:jc w:val="both"/>
            </w:pPr>
            <w:r>
              <w:t>2.42    ± 0.16</w:t>
            </w:r>
            <w:r>
              <w:rPr>
                <w:vertAlign w:val="superscript"/>
              </w:rPr>
              <w:t>xxxa</w:t>
            </w:r>
          </w:p>
        </w:tc>
        <w:tc>
          <w:tcPr>
            <w:tcW w:w="1703" w:type="dxa"/>
          </w:tcPr>
          <w:p w:rsidR="00176903" w:rsidRPr="00C944A8" w:rsidRDefault="00176903" w:rsidP="00700FF0">
            <w:pPr>
              <w:jc w:val="both"/>
              <w:rPr>
                <w:vertAlign w:val="superscript"/>
              </w:rPr>
            </w:pPr>
            <w:r>
              <w:t>1.73    ±  0.10</w:t>
            </w:r>
            <w:r w:rsidR="00C944A8">
              <w:rPr>
                <w:vertAlign w:val="superscript"/>
              </w:rPr>
              <w:t>ns</w:t>
            </w:r>
          </w:p>
        </w:tc>
      </w:tr>
      <w:tr w:rsidR="00176903" w:rsidTr="003C4E52">
        <w:tc>
          <w:tcPr>
            <w:tcW w:w="2768" w:type="dxa"/>
          </w:tcPr>
          <w:p w:rsidR="00176903" w:rsidRDefault="00176903" w:rsidP="00700FF0">
            <w:pPr>
              <w:jc w:val="both"/>
            </w:pPr>
            <w:r>
              <w:t>GSH</w:t>
            </w:r>
          </w:p>
          <w:p w:rsidR="00176903" w:rsidRDefault="00176903" w:rsidP="00700FF0">
            <w:pPr>
              <w:jc w:val="both"/>
            </w:pPr>
            <w:r>
              <w:t>(mg/g tissue)</w:t>
            </w:r>
          </w:p>
        </w:tc>
        <w:tc>
          <w:tcPr>
            <w:tcW w:w="1701" w:type="dxa"/>
          </w:tcPr>
          <w:p w:rsidR="00176903" w:rsidRDefault="00176903" w:rsidP="00700FF0">
            <w:pPr>
              <w:jc w:val="both"/>
            </w:pPr>
            <w:r>
              <w:t>23.62   ± 1.97</w:t>
            </w:r>
          </w:p>
        </w:tc>
        <w:tc>
          <w:tcPr>
            <w:tcW w:w="1702" w:type="dxa"/>
          </w:tcPr>
          <w:p w:rsidR="00176903" w:rsidRPr="00C944A8" w:rsidRDefault="00176903" w:rsidP="00700FF0">
            <w:pPr>
              <w:jc w:val="both"/>
              <w:rPr>
                <w:vertAlign w:val="superscript"/>
              </w:rPr>
            </w:pPr>
            <w:r>
              <w:t>11.30 ±  0.91</w:t>
            </w:r>
            <w:r w:rsidR="00C944A8">
              <w:rPr>
                <w:vertAlign w:val="superscript"/>
              </w:rPr>
              <w:t>xxx</w:t>
            </w:r>
          </w:p>
        </w:tc>
        <w:tc>
          <w:tcPr>
            <w:tcW w:w="1702" w:type="dxa"/>
          </w:tcPr>
          <w:p w:rsidR="00176903" w:rsidRPr="00C944A8" w:rsidRDefault="00176903" w:rsidP="00700FF0">
            <w:pPr>
              <w:jc w:val="both"/>
              <w:rPr>
                <w:vertAlign w:val="superscript"/>
              </w:rPr>
            </w:pPr>
            <w:r>
              <w:t>18.23 ± 0.79</w:t>
            </w:r>
            <w:r w:rsidR="00C944A8">
              <w:rPr>
                <w:vertAlign w:val="superscript"/>
              </w:rPr>
              <w:t>xxx,a</w:t>
            </w:r>
          </w:p>
        </w:tc>
        <w:tc>
          <w:tcPr>
            <w:tcW w:w="1703" w:type="dxa"/>
          </w:tcPr>
          <w:p w:rsidR="00176903" w:rsidRPr="00C944A8" w:rsidRDefault="00176903" w:rsidP="00700FF0">
            <w:pPr>
              <w:jc w:val="both"/>
              <w:rPr>
                <w:vertAlign w:val="superscript"/>
              </w:rPr>
            </w:pPr>
            <w:r>
              <w:t>23.14  ±   1.61</w:t>
            </w:r>
            <w:r w:rsidR="00C944A8">
              <w:rPr>
                <w:vertAlign w:val="superscript"/>
              </w:rPr>
              <w:t>ns</w:t>
            </w:r>
          </w:p>
        </w:tc>
      </w:tr>
      <w:tr w:rsidR="00176903" w:rsidTr="003C4E52">
        <w:trPr>
          <w:trHeight w:val="863"/>
        </w:trPr>
        <w:tc>
          <w:tcPr>
            <w:tcW w:w="2768" w:type="dxa"/>
          </w:tcPr>
          <w:p w:rsidR="00176903" w:rsidRDefault="00176903" w:rsidP="00700FF0">
            <w:pPr>
              <w:jc w:val="both"/>
            </w:pPr>
            <w:r>
              <w:t>SOD</w:t>
            </w:r>
          </w:p>
          <w:p w:rsidR="00176903" w:rsidRDefault="00176903" w:rsidP="00700FF0">
            <w:pPr>
              <w:jc w:val="both"/>
            </w:pPr>
            <w:r>
              <w:t xml:space="preserve">(50% inhibition of NBT </w:t>
            </w:r>
            <w:proofErr w:type="spellStart"/>
            <w:r>
              <w:t>redn</w:t>
            </w:r>
            <w:proofErr w:type="spellEnd"/>
            <w:r w:rsidR="00484046">
              <w:t xml:space="preserve"> </w:t>
            </w:r>
            <w:r>
              <w:t>/min/mg/protein)</w:t>
            </w:r>
          </w:p>
        </w:tc>
        <w:tc>
          <w:tcPr>
            <w:tcW w:w="1701" w:type="dxa"/>
          </w:tcPr>
          <w:p w:rsidR="00176903" w:rsidRDefault="00176903" w:rsidP="00700FF0">
            <w:pPr>
              <w:jc w:val="both"/>
            </w:pPr>
            <w:r>
              <w:t>4.94   ±  0.49</w:t>
            </w:r>
          </w:p>
        </w:tc>
        <w:tc>
          <w:tcPr>
            <w:tcW w:w="1702" w:type="dxa"/>
          </w:tcPr>
          <w:p w:rsidR="00176903" w:rsidRPr="00C944A8" w:rsidRDefault="00176903" w:rsidP="00700FF0">
            <w:pPr>
              <w:jc w:val="both"/>
              <w:rPr>
                <w:vertAlign w:val="superscript"/>
              </w:rPr>
            </w:pPr>
            <w:r>
              <w:t>2.22   ±  0.09</w:t>
            </w:r>
            <w:r w:rsidR="00C944A8">
              <w:rPr>
                <w:vertAlign w:val="superscript"/>
              </w:rPr>
              <w:t>xxx</w:t>
            </w:r>
          </w:p>
        </w:tc>
        <w:tc>
          <w:tcPr>
            <w:tcW w:w="1702" w:type="dxa"/>
          </w:tcPr>
          <w:p w:rsidR="00176903" w:rsidRPr="00C944A8" w:rsidRDefault="00176903" w:rsidP="00700FF0">
            <w:pPr>
              <w:jc w:val="both"/>
              <w:rPr>
                <w:vertAlign w:val="superscript"/>
              </w:rPr>
            </w:pPr>
            <w:r>
              <w:t>4.40   ±  0.49</w:t>
            </w:r>
            <w:r w:rsidR="00C944A8">
              <w:rPr>
                <w:vertAlign w:val="superscript"/>
              </w:rPr>
              <w:t>xxx,a</w:t>
            </w:r>
          </w:p>
        </w:tc>
        <w:tc>
          <w:tcPr>
            <w:tcW w:w="1703" w:type="dxa"/>
          </w:tcPr>
          <w:p w:rsidR="00176903" w:rsidRPr="00C944A8" w:rsidRDefault="00176903" w:rsidP="00700FF0">
            <w:pPr>
              <w:jc w:val="both"/>
              <w:rPr>
                <w:vertAlign w:val="superscript"/>
              </w:rPr>
            </w:pPr>
            <w:r>
              <w:t>5.03    ±</w:t>
            </w:r>
            <w:r w:rsidR="00C944A8">
              <w:t>0.51</w:t>
            </w:r>
            <w:r w:rsidR="00C944A8">
              <w:rPr>
                <w:vertAlign w:val="superscript"/>
              </w:rPr>
              <w:t>ns</w:t>
            </w:r>
            <w:r>
              <w:t xml:space="preserve">    </w:t>
            </w:r>
          </w:p>
        </w:tc>
      </w:tr>
      <w:tr w:rsidR="00176903" w:rsidTr="003C4E52">
        <w:tc>
          <w:tcPr>
            <w:tcW w:w="2768" w:type="dxa"/>
          </w:tcPr>
          <w:p w:rsidR="00176903" w:rsidRPr="00137AD3" w:rsidRDefault="00176903" w:rsidP="00700FF0">
            <w:pPr>
              <w:jc w:val="both"/>
              <w:rPr>
                <w:vertAlign w:val="subscript"/>
              </w:rPr>
            </w:pPr>
            <w:r>
              <w:t>CAT μ moles o</w:t>
            </w:r>
            <w:r w:rsidR="00484046">
              <w:t xml:space="preserve">f </w:t>
            </w:r>
            <w:r>
              <w:t xml:space="preserve">H </w:t>
            </w:r>
            <w:r>
              <w:rPr>
                <w:vertAlign w:val="subscript"/>
              </w:rPr>
              <w:t xml:space="preserve">2 </w:t>
            </w:r>
            <w:r>
              <w:t>o</w:t>
            </w:r>
            <w:r>
              <w:rPr>
                <w:vertAlign w:val="subscript"/>
              </w:rPr>
              <w:t xml:space="preserve"> 2</w:t>
            </w:r>
          </w:p>
          <w:p w:rsidR="00176903" w:rsidRDefault="00176903" w:rsidP="00700FF0">
            <w:pPr>
              <w:jc w:val="both"/>
            </w:pPr>
            <w:r>
              <w:t>Consumed/min/mg/protein)</w:t>
            </w:r>
          </w:p>
        </w:tc>
        <w:tc>
          <w:tcPr>
            <w:tcW w:w="1701" w:type="dxa"/>
          </w:tcPr>
          <w:p w:rsidR="00176903" w:rsidRDefault="00176903" w:rsidP="00700FF0">
            <w:pPr>
              <w:jc w:val="both"/>
            </w:pPr>
            <w:r>
              <w:t>77.13  ±  7.43</w:t>
            </w:r>
          </w:p>
        </w:tc>
        <w:tc>
          <w:tcPr>
            <w:tcW w:w="1702" w:type="dxa"/>
          </w:tcPr>
          <w:p w:rsidR="00176903" w:rsidRPr="00C944A8" w:rsidRDefault="00176903" w:rsidP="00700FF0">
            <w:pPr>
              <w:jc w:val="both"/>
              <w:rPr>
                <w:vertAlign w:val="superscript"/>
              </w:rPr>
            </w:pPr>
            <w:r>
              <w:t>34.28  ± 2.35</w:t>
            </w:r>
            <w:r w:rsidR="00C944A8">
              <w:rPr>
                <w:vertAlign w:val="superscript"/>
              </w:rPr>
              <w:t>xxx</w:t>
            </w:r>
          </w:p>
        </w:tc>
        <w:tc>
          <w:tcPr>
            <w:tcW w:w="1702" w:type="dxa"/>
          </w:tcPr>
          <w:p w:rsidR="00176903" w:rsidRPr="00C944A8" w:rsidRDefault="00176903" w:rsidP="00700FF0">
            <w:pPr>
              <w:jc w:val="both"/>
              <w:rPr>
                <w:vertAlign w:val="superscript"/>
              </w:rPr>
            </w:pPr>
            <w:r>
              <w:t>68.62  ± 3.32</w:t>
            </w:r>
            <w:r w:rsidR="00C944A8">
              <w:rPr>
                <w:vertAlign w:val="superscript"/>
              </w:rPr>
              <w:t>xxxa</w:t>
            </w:r>
          </w:p>
        </w:tc>
        <w:tc>
          <w:tcPr>
            <w:tcW w:w="1703" w:type="dxa"/>
          </w:tcPr>
          <w:p w:rsidR="00176903" w:rsidRPr="00C944A8" w:rsidRDefault="00176903" w:rsidP="00700FF0">
            <w:pPr>
              <w:jc w:val="both"/>
              <w:rPr>
                <w:vertAlign w:val="superscript"/>
              </w:rPr>
            </w:pPr>
            <w:r>
              <w:t>74.80   ± 6.06</w:t>
            </w:r>
            <w:r w:rsidR="00C944A8">
              <w:rPr>
                <w:vertAlign w:val="superscript"/>
              </w:rPr>
              <w:t>ns</w:t>
            </w:r>
          </w:p>
        </w:tc>
      </w:tr>
      <w:tr w:rsidR="00176903" w:rsidTr="003C4E52">
        <w:tc>
          <w:tcPr>
            <w:tcW w:w="2768" w:type="dxa"/>
          </w:tcPr>
          <w:p w:rsidR="00176903" w:rsidRDefault="00176903" w:rsidP="00700FF0">
            <w:pPr>
              <w:jc w:val="both"/>
            </w:pPr>
            <w:proofErr w:type="spellStart"/>
            <w:r>
              <w:t>GPx</w:t>
            </w:r>
            <w:proofErr w:type="spellEnd"/>
            <w:r>
              <w:t xml:space="preserve"> </w:t>
            </w:r>
            <w:proofErr w:type="spellStart"/>
            <w:r>
              <w:t>μg</w:t>
            </w:r>
            <w:proofErr w:type="spellEnd"/>
            <w:r>
              <w:t xml:space="preserve"> of </w:t>
            </w:r>
            <w:proofErr w:type="spellStart"/>
            <w:r>
              <w:t>GPx</w:t>
            </w:r>
            <w:proofErr w:type="spellEnd"/>
            <w:r>
              <w:t xml:space="preserve"> consumed/ min/mg/protein</w:t>
            </w:r>
          </w:p>
          <w:p w:rsidR="00176903" w:rsidRDefault="00176903" w:rsidP="00700FF0">
            <w:pPr>
              <w:jc w:val="both"/>
            </w:pPr>
          </w:p>
        </w:tc>
        <w:tc>
          <w:tcPr>
            <w:tcW w:w="1701" w:type="dxa"/>
          </w:tcPr>
          <w:p w:rsidR="00176903" w:rsidRDefault="00176903" w:rsidP="00700FF0">
            <w:pPr>
              <w:jc w:val="both"/>
            </w:pPr>
            <w:r>
              <w:t>12.03  ±  1.24</w:t>
            </w:r>
          </w:p>
        </w:tc>
        <w:tc>
          <w:tcPr>
            <w:tcW w:w="1702" w:type="dxa"/>
          </w:tcPr>
          <w:p w:rsidR="00176903" w:rsidRPr="00C944A8" w:rsidRDefault="00176903" w:rsidP="00700FF0">
            <w:pPr>
              <w:jc w:val="both"/>
              <w:rPr>
                <w:vertAlign w:val="superscript"/>
              </w:rPr>
            </w:pPr>
            <w:r>
              <w:t>4.71   ±  0.25</w:t>
            </w:r>
            <w:r w:rsidR="00C944A8">
              <w:rPr>
                <w:vertAlign w:val="superscript"/>
              </w:rPr>
              <w:t>xxx</w:t>
            </w:r>
          </w:p>
        </w:tc>
        <w:tc>
          <w:tcPr>
            <w:tcW w:w="1702" w:type="dxa"/>
          </w:tcPr>
          <w:p w:rsidR="00176903" w:rsidRPr="00C944A8" w:rsidRDefault="00176903" w:rsidP="00700FF0">
            <w:pPr>
              <w:jc w:val="both"/>
              <w:rPr>
                <w:vertAlign w:val="superscript"/>
              </w:rPr>
            </w:pPr>
            <w:r>
              <w:t>8.78   ± 0.64</w:t>
            </w:r>
            <w:r w:rsidR="00C944A8">
              <w:rPr>
                <w:vertAlign w:val="superscript"/>
              </w:rPr>
              <w:t>xxx,a</w:t>
            </w:r>
          </w:p>
        </w:tc>
        <w:tc>
          <w:tcPr>
            <w:tcW w:w="1703" w:type="dxa"/>
          </w:tcPr>
          <w:p w:rsidR="00176903" w:rsidRPr="00C944A8" w:rsidRDefault="00176903" w:rsidP="00700FF0">
            <w:pPr>
              <w:jc w:val="both"/>
              <w:rPr>
                <w:vertAlign w:val="superscript"/>
              </w:rPr>
            </w:pPr>
            <w:r>
              <w:t>12.00  ±  1.16</w:t>
            </w:r>
            <w:r w:rsidR="00C944A8">
              <w:rPr>
                <w:vertAlign w:val="superscript"/>
              </w:rPr>
              <w:t>ns</w:t>
            </w:r>
          </w:p>
        </w:tc>
      </w:tr>
    </w:tbl>
    <w:p w:rsidR="00700FF0" w:rsidRDefault="00700FF0" w:rsidP="00700FF0">
      <w:pPr>
        <w:jc w:val="both"/>
      </w:pPr>
    </w:p>
    <w:p w:rsidR="00176903" w:rsidRDefault="00176903" w:rsidP="00700FF0">
      <w:pPr>
        <w:jc w:val="both"/>
      </w:pPr>
      <w:r>
        <w:t xml:space="preserve">Statistical significance was evaluated using ANOVA followed by Least Significant Difference (LSD) test. </w:t>
      </w:r>
    </w:p>
    <w:p w:rsidR="00176903" w:rsidRDefault="00484046" w:rsidP="00700FF0">
      <w:pPr>
        <w:jc w:val="both"/>
      </w:pPr>
      <w:r>
        <w:t xml:space="preserve">Group </w:t>
      </w:r>
      <w:r w:rsidR="00176903">
        <w:t>II is compared with Group I (</w:t>
      </w:r>
      <w:r w:rsidR="00176903">
        <w:rPr>
          <w:vertAlign w:val="superscript"/>
        </w:rPr>
        <w:t>a</w:t>
      </w:r>
      <w:r w:rsidR="00176903">
        <w:t xml:space="preserve"> p &lt;o.oo1).</w:t>
      </w:r>
    </w:p>
    <w:p w:rsidR="00176903" w:rsidRDefault="00484046" w:rsidP="00700FF0">
      <w:pPr>
        <w:jc w:val="both"/>
      </w:pPr>
      <w:r>
        <w:t xml:space="preserve"> Group III is compared with</w:t>
      </w:r>
      <w:r w:rsidR="00176903">
        <w:t xml:space="preserve"> Group II (p &lt; 0.001).</w:t>
      </w:r>
    </w:p>
    <w:p w:rsidR="00176903" w:rsidRDefault="00176903" w:rsidP="00700FF0">
      <w:pPr>
        <w:jc w:val="both"/>
      </w:pPr>
      <w:r>
        <w:t>Gro</w:t>
      </w:r>
      <w:r w:rsidR="00484046">
        <w:t>up IV is compared with Group I;</w:t>
      </w:r>
      <w:r>
        <w:t xml:space="preserve"> ns </w:t>
      </w:r>
      <w:r w:rsidR="00FA586B">
        <w:t>not significant</w:t>
      </w:r>
    </w:p>
    <w:p w:rsidR="00176903" w:rsidRDefault="00176903" w:rsidP="00700FF0">
      <w:pPr>
        <w:jc w:val="both"/>
      </w:pPr>
    </w:p>
    <w:p w:rsidR="002D751E" w:rsidRDefault="002D751E" w:rsidP="00700FF0">
      <w:pPr>
        <w:jc w:val="both"/>
        <w:rPr>
          <w:sz w:val="24"/>
          <w:szCs w:val="24"/>
        </w:rPr>
      </w:pPr>
    </w:p>
    <w:p w:rsidR="00EE1C84" w:rsidRPr="006D2D9D" w:rsidRDefault="00EE1C84" w:rsidP="00700FF0">
      <w:pPr>
        <w:jc w:val="both"/>
        <w:rPr>
          <w:sz w:val="24"/>
          <w:szCs w:val="24"/>
          <w:vertAlign w:val="superscript"/>
        </w:rPr>
      </w:pPr>
    </w:p>
    <w:p w:rsidR="00BB4B43" w:rsidRPr="006D2D9D" w:rsidRDefault="00BB4B43" w:rsidP="00700FF0">
      <w:pPr>
        <w:jc w:val="both"/>
        <w:rPr>
          <w:sz w:val="24"/>
          <w:szCs w:val="24"/>
        </w:rPr>
      </w:pPr>
    </w:p>
    <w:p w:rsidR="00483C36" w:rsidRPr="006D2D9D" w:rsidRDefault="00483C36" w:rsidP="00700FF0">
      <w:pPr>
        <w:jc w:val="both"/>
        <w:rPr>
          <w:sz w:val="24"/>
          <w:szCs w:val="24"/>
        </w:rPr>
      </w:pPr>
      <w:r>
        <w:rPr>
          <w:sz w:val="24"/>
          <w:szCs w:val="24"/>
        </w:rPr>
        <w:lastRenderedPageBreak/>
        <w:t>Elevated levels of TBARS have been observed in the liver</w:t>
      </w:r>
      <w:r w:rsidRPr="006D2D9D">
        <w:rPr>
          <w:sz w:val="24"/>
          <w:szCs w:val="24"/>
        </w:rPr>
        <w:t xml:space="preserve"> tissue of ammonium acetate treated rats indicating the increased levels of lipid peroxidation. It is a </w:t>
      </w:r>
      <w:r w:rsidR="000B5E7A" w:rsidRPr="006D2D9D">
        <w:rPr>
          <w:sz w:val="24"/>
          <w:szCs w:val="24"/>
        </w:rPr>
        <w:t>well-established</w:t>
      </w:r>
      <w:r w:rsidRPr="006D2D9D">
        <w:rPr>
          <w:sz w:val="24"/>
          <w:szCs w:val="24"/>
        </w:rPr>
        <w:t xml:space="preserve"> fact that ammonia intoxication enhances lipid peroxidation and generates free radicals (</w:t>
      </w:r>
      <w:proofErr w:type="spellStart"/>
      <w:r w:rsidRPr="006D2D9D">
        <w:rPr>
          <w:sz w:val="24"/>
          <w:szCs w:val="24"/>
        </w:rPr>
        <w:t>Kosenko</w:t>
      </w:r>
      <w:proofErr w:type="spellEnd"/>
      <w:r w:rsidRPr="006D2D9D">
        <w:rPr>
          <w:sz w:val="24"/>
          <w:szCs w:val="24"/>
        </w:rPr>
        <w:t xml:space="preserve"> et al. 2000; </w:t>
      </w:r>
      <w:proofErr w:type="spellStart"/>
      <w:r w:rsidRPr="006D2D9D">
        <w:rPr>
          <w:sz w:val="24"/>
          <w:szCs w:val="24"/>
        </w:rPr>
        <w:t>Dakshayani</w:t>
      </w:r>
      <w:proofErr w:type="spellEnd"/>
      <w:r w:rsidRPr="006D2D9D">
        <w:rPr>
          <w:sz w:val="24"/>
          <w:szCs w:val="24"/>
        </w:rPr>
        <w:t xml:space="preserve"> </w:t>
      </w:r>
      <w:proofErr w:type="gramStart"/>
      <w:r w:rsidRPr="006D2D9D">
        <w:rPr>
          <w:sz w:val="24"/>
          <w:szCs w:val="24"/>
        </w:rPr>
        <w:t>et</w:t>
      </w:r>
      <w:proofErr w:type="gramEnd"/>
      <w:r w:rsidRPr="006D2D9D">
        <w:rPr>
          <w:sz w:val="24"/>
          <w:szCs w:val="24"/>
        </w:rPr>
        <w:t xml:space="preserve"> al.2002; </w:t>
      </w:r>
      <w:proofErr w:type="spellStart"/>
      <w:r w:rsidRPr="006D2D9D">
        <w:rPr>
          <w:sz w:val="24"/>
          <w:szCs w:val="24"/>
        </w:rPr>
        <w:t>Vidya</w:t>
      </w:r>
      <w:proofErr w:type="spellEnd"/>
      <w:r w:rsidRPr="006D2D9D">
        <w:rPr>
          <w:sz w:val="24"/>
          <w:szCs w:val="24"/>
        </w:rPr>
        <w:t xml:space="preserve"> et al.2003). The levels of TBARS in ammonium acetate and melatonin treated rats were significantly decreased when c</w:t>
      </w:r>
      <w:r>
        <w:rPr>
          <w:sz w:val="24"/>
          <w:szCs w:val="24"/>
        </w:rPr>
        <w:t>ompared to group 2 rats. This su</w:t>
      </w:r>
      <w:r w:rsidRPr="006D2D9D">
        <w:rPr>
          <w:sz w:val="24"/>
          <w:szCs w:val="24"/>
        </w:rPr>
        <w:t>ggests that melatonin could offer protec</w:t>
      </w:r>
      <w:r w:rsidR="00C944A8">
        <w:rPr>
          <w:sz w:val="24"/>
          <w:szCs w:val="24"/>
        </w:rPr>
        <w:t xml:space="preserve">tion against lipid </w:t>
      </w:r>
      <w:proofErr w:type="spellStart"/>
      <w:r w:rsidR="00C944A8">
        <w:rPr>
          <w:sz w:val="24"/>
          <w:szCs w:val="24"/>
        </w:rPr>
        <w:t>peroxidatio</w:t>
      </w:r>
      <w:proofErr w:type="spellEnd"/>
      <w:r w:rsidRPr="006D2D9D">
        <w:rPr>
          <w:sz w:val="24"/>
          <w:szCs w:val="24"/>
        </w:rPr>
        <w:t xml:space="preserve"> (</w:t>
      </w:r>
      <w:proofErr w:type="spellStart"/>
      <w:r w:rsidRPr="006D2D9D">
        <w:rPr>
          <w:sz w:val="24"/>
          <w:szCs w:val="24"/>
        </w:rPr>
        <w:t>Lastra</w:t>
      </w:r>
      <w:proofErr w:type="spellEnd"/>
      <w:r w:rsidRPr="006D2D9D">
        <w:rPr>
          <w:sz w:val="24"/>
          <w:szCs w:val="24"/>
        </w:rPr>
        <w:t xml:space="preserve"> </w:t>
      </w:r>
      <w:proofErr w:type="gramStart"/>
      <w:r w:rsidRPr="006D2D9D">
        <w:rPr>
          <w:sz w:val="24"/>
          <w:szCs w:val="24"/>
        </w:rPr>
        <w:t>et</w:t>
      </w:r>
      <w:proofErr w:type="gramEnd"/>
      <w:r w:rsidRPr="006D2D9D">
        <w:rPr>
          <w:sz w:val="24"/>
          <w:szCs w:val="24"/>
        </w:rPr>
        <w:t xml:space="preserve"> al.1997).</w:t>
      </w:r>
    </w:p>
    <w:p w:rsidR="00483C36" w:rsidRPr="006D2D9D" w:rsidRDefault="00483C36" w:rsidP="00700FF0">
      <w:pPr>
        <w:jc w:val="both"/>
        <w:rPr>
          <w:sz w:val="24"/>
          <w:szCs w:val="24"/>
        </w:rPr>
      </w:pPr>
      <w:r w:rsidRPr="006D2D9D">
        <w:rPr>
          <w:sz w:val="24"/>
          <w:szCs w:val="24"/>
        </w:rPr>
        <w:t>The non-enzymatic antioxidant glutathione is a scavenger of hydroxyl radicals and singlet oxygen (</w:t>
      </w:r>
      <w:proofErr w:type="spellStart"/>
      <w:r w:rsidRPr="006D2D9D">
        <w:rPr>
          <w:sz w:val="24"/>
          <w:szCs w:val="24"/>
        </w:rPr>
        <w:t>Halliwell</w:t>
      </w:r>
      <w:proofErr w:type="spellEnd"/>
      <w:r w:rsidRPr="006D2D9D">
        <w:rPr>
          <w:sz w:val="24"/>
          <w:szCs w:val="24"/>
        </w:rPr>
        <w:t xml:space="preserve"> and </w:t>
      </w:r>
      <w:proofErr w:type="spellStart"/>
      <w:r w:rsidRPr="006D2D9D">
        <w:rPr>
          <w:sz w:val="24"/>
          <w:szCs w:val="24"/>
        </w:rPr>
        <w:t>Gutt</w:t>
      </w:r>
      <w:r>
        <w:rPr>
          <w:sz w:val="24"/>
          <w:szCs w:val="24"/>
        </w:rPr>
        <w:t>eridge</w:t>
      </w:r>
      <w:proofErr w:type="spellEnd"/>
      <w:r>
        <w:rPr>
          <w:sz w:val="24"/>
          <w:szCs w:val="24"/>
        </w:rPr>
        <w:t xml:space="preserve"> 1999). It has been report</w:t>
      </w:r>
      <w:r w:rsidRPr="006D2D9D">
        <w:rPr>
          <w:sz w:val="24"/>
          <w:szCs w:val="24"/>
        </w:rPr>
        <w:t>ed that ammonia intoxication induces depletion of glu</w:t>
      </w:r>
      <w:r>
        <w:rPr>
          <w:sz w:val="24"/>
          <w:szCs w:val="24"/>
        </w:rPr>
        <w:t>tathione and an inc</w:t>
      </w:r>
      <w:r w:rsidRPr="006D2D9D">
        <w:rPr>
          <w:sz w:val="24"/>
          <w:szCs w:val="24"/>
        </w:rPr>
        <w:t>rease in lipid peroxidation (</w:t>
      </w:r>
      <w:proofErr w:type="spellStart"/>
      <w:r w:rsidRPr="006D2D9D">
        <w:rPr>
          <w:sz w:val="24"/>
          <w:szCs w:val="24"/>
        </w:rPr>
        <w:t>Kosenko</w:t>
      </w:r>
      <w:proofErr w:type="spellEnd"/>
      <w:r w:rsidRPr="006D2D9D">
        <w:rPr>
          <w:sz w:val="24"/>
          <w:szCs w:val="24"/>
        </w:rPr>
        <w:t xml:space="preserve"> et al. 1999). Reports have also shown that ammonia intoxication leads to the increased formation of nitric oxide which results in the oxidation of glutathione (GSE) to glutathione </w:t>
      </w:r>
      <w:proofErr w:type="spellStart"/>
      <w:r w:rsidRPr="006D2D9D">
        <w:rPr>
          <w:sz w:val="24"/>
          <w:szCs w:val="24"/>
        </w:rPr>
        <w:t>disulphide</w:t>
      </w:r>
      <w:proofErr w:type="spellEnd"/>
      <w:r w:rsidRPr="006D2D9D">
        <w:rPr>
          <w:sz w:val="24"/>
          <w:szCs w:val="24"/>
        </w:rPr>
        <w:t xml:space="preserve"> (GSSG) and to mixed glutathione </w:t>
      </w:r>
      <w:proofErr w:type="spellStart"/>
      <w:r w:rsidRPr="006D2D9D">
        <w:rPr>
          <w:sz w:val="24"/>
          <w:szCs w:val="24"/>
        </w:rPr>
        <w:t>disulphides</w:t>
      </w:r>
      <w:proofErr w:type="spellEnd"/>
      <w:r w:rsidRPr="006D2D9D">
        <w:rPr>
          <w:sz w:val="24"/>
          <w:szCs w:val="24"/>
        </w:rPr>
        <w:t xml:space="preserve"> (GSSR) resulting in depletion of GSH and increased free radical</w:t>
      </w:r>
      <w:r w:rsidR="00E87D0D">
        <w:rPr>
          <w:sz w:val="24"/>
          <w:szCs w:val="24"/>
        </w:rPr>
        <w:t xml:space="preserve"> formation (</w:t>
      </w:r>
      <w:proofErr w:type="spellStart"/>
      <w:r w:rsidR="00E87D0D">
        <w:rPr>
          <w:sz w:val="24"/>
          <w:szCs w:val="24"/>
        </w:rPr>
        <w:t>Luperchio</w:t>
      </w:r>
      <w:proofErr w:type="spellEnd"/>
      <w:r w:rsidR="00E87D0D">
        <w:rPr>
          <w:sz w:val="24"/>
          <w:szCs w:val="24"/>
        </w:rPr>
        <w:t xml:space="preserve"> et al.199</w:t>
      </w:r>
      <w:r w:rsidRPr="006D2D9D">
        <w:rPr>
          <w:sz w:val="24"/>
          <w:szCs w:val="24"/>
        </w:rPr>
        <w:t xml:space="preserve">6). Group 3 rats compared to group 2 rats showed elevated levels of glutathione. This is because, under </w:t>
      </w:r>
      <w:proofErr w:type="spellStart"/>
      <w:r w:rsidRPr="006D2D9D">
        <w:rPr>
          <w:sz w:val="24"/>
          <w:szCs w:val="24"/>
        </w:rPr>
        <w:t>hyperammonemic</w:t>
      </w:r>
      <w:proofErr w:type="spellEnd"/>
      <w:r w:rsidRPr="006D2D9D">
        <w:rPr>
          <w:sz w:val="24"/>
          <w:szCs w:val="24"/>
        </w:rPr>
        <w:t xml:space="preserve"> conditi</w:t>
      </w:r>
      <w:r>
        <w:rPr>
          <w:sz w:val="24"/>
          <w:szCs w:val="24"/>
        </w:rPr>
        <w:t>ons,</w:t>
      </w:r>
      <w:r w:rsidR="0010044F">
        <w:rPr>
          <w:sz w:val="24"/>
          <w:szCs w:val="24"/>
        </w:rPr>
        <w:t xml:space="preserve"> </w:t>
      </w:r>
      <w:r>
        <w:rPr>
          <w:sz w:val="24"/>
          <w:szCs w:val="24"/>
        </w:rPr>
        <w:t>melat</w:t>
      </w:r>
      <w:r w:rsidRPr="006D2D9D">
        <w:rPr>
          <w:sz w:val="24"/>
          <w:szCs w:val="24"/>
        </w:rPr>
        <w:t>onin increases the levels of glutathione, an important intracellular antioxidant, by stimulating its rate-limiting enzyme, ϒ</w:t>
      </w:r>
      <w:r>
        <w:rPr>
          <w:sz w:val="24"/>
          <w:szCs w:val="24"/>
        </w:rPr>
        <w:t>-</w:t>
      </w:r>
      <w:proofErr w:type="spellStart"/>
      <w:r>
        <w:rPr>
          <w:sz w:val="24"/>
          <w:szCs w:val="24"/>
        </w:rPr>
        <w:t>glutamylycyste</w:t>
      </w:r>
      <w:r w:rsidRPr="006D2D9D">
        <w:rPr>
          <w:sz w:val="24"/>
          <w:szCs w:val="24"/>
        </w:rPr>
        <w:t>ine</w:t>
      </w:r>
      <w:proofErr w:type="spellEnd"/>
      <w:r w:rsidRPr="006D2D9D">
        <w:rPr>
          <w:sz w:val="24"/>
          <w:szCs w:val="24"/>
        </w:rPr>
        <w:t xml:space="preserve"> synthase (Urata et al. 1999).</w:t>
      </w:r>
    </w:p>
    <w:p w:rsidR="00483C36" w:rsidRPr="006D2D9D" w:rsidRDefault="00483C36" w:rsidP="00700FF0">
      <w:pPr>
        <w:jc w:val="both"/>
        <w:rPr>
          <w:sz w:val="24"/>
          <w:szCs w:val="24"/>
        </w:rPr>
      </w:pPr>
      <w:r w:rsidRPr="006D2D9D">
        <w:rPr>
          <w:sz w:val="24"/>
          <w:szCs w:val="24"/>
        </w:rPr>
        <w:t xml:space="preserve">In our study, the decreased activities of antioxidant enzymes (SOD, CAT, </w:t>
      </w:r>
      <w:proofErr w:type="spellStart"/>
      <w:r w:rsidRPr="006D2D9D">
        <w:rPr>
          <w:sz w:val="24"/>
          <w:szCs w:val="24"/>
        </w:rPr>
        <w:t>GPx</w:t>
      </w:r>
      <w:proofErr w:type="spellEnd"/>
      <w:r w:rsidRPr="006D2D9D">
        <w:rPr>
          <w:sz w:val="24"/>
          <w:szCs w:val="24"/>
        </w:rPr>
        <w:t>) in the ammonium acetate treated group may be due to the inhibition of these enzymes by nitric oxide. It is known that ammonia-induced inhibition of antioxidant enzymes is mediated by the activation of NMDA receptors that leads to increased intracellular calcium levels, which in turn activate neuronal nitric oxide synthase, leading to the formation of nitric oxide which inhibits the activities of antioxidant enzymes (</w:t>
      </w:r>
      <w:proofErr w:type="spellStart"/>
      <w:r w:rsidRPr="006D2D9D">
        <w:rPr>
          <w:sz w:val="24"/>
          <w:szCs w:val="24"/>
        </w:rPr>
        <w:t>Kosenko</w:t>
      </w:r>
      <w:proofErr w:type="spellEnd"/>
      <w:r w:rsidRPr="006D2D9D">
        <w:rPr>
          <w:sz w:val="24"/>
          <w:szCs w:val="24"/>
        </w:rPr>
        <w:t xml:space="preserve"> et al.2000) Under </w:t>
      </w:r>
      <w:proofErr w:type="spellStart"/>
      <w:r w:rsidRPr="006D2D9D">
        <w:rPr>
          <w:sz w:val="24"/>
          <w:szCs w:val="24"/>
        </w:rPr>
        <w:t>hyperammonemic</w:t>
      </w:r>
      <w:proofErr w:type="spellEnd"/>
      <w:r w:rsidRPr="006D2D9D">
        <w:rPr>
          <w:sz w:val="24"/>
          <w:szCs w:val="24"/>
        </w:rPr>
        <w:t xml:space="preserve"> conditions, melatonin causes an increase in the gene expression and activities of the antioxidant enzymes such as glutathione peroxidase, glutathione reductase and superoxide d</w:t>
      </w:r>
      <w:r>
        <w:rPr>
          <w:sz w:val="24"/>
          <w:szCs w:val="24"/>
        </w:rPr>
        <w:t xml:space="preserve">ismutase (Barlow et al. 1995; </w:t>
      </w:r>
      <w:proofErr w:type="spellStart"/>
      <w:r>
        <w:rPr>
          <w:sz w:val="24"/>
          <w:szCs w:val="24"/>
        </w:rPr>
        <w:t>An</w:t>
      </w:r>
      <w:r w:rsidRPr="006D2D9D">
        <w:rPr>
          <w:sz w:val="24"/>
          <w:szCs w:val="24"/>
        </w:rPr>
        <w:t>tolin</w:t>
      </w:r>
      <w:proofErr w:type="spellEnd"/>
      <w:r w:rsidRPr="006D2D9D">
        <w:rPr>
          <w:sz w:val="24"/>
          <w:szCs w:val="24"/>
        </w:rPr>
        <w:t xml:space="preserve"> et al. 1996) which results in the elevated levels of these enzymes in group 3 rats. The elevated levels of these enzymes might protect against oxidative damage caused by the free radical formation (Reiter et al. 2003).</w:t>
      </w:r>
    </w:p>
    <w:p w:rsidR="00483C36" w:rsidRPr="006D2D9D" w:rsidRDefault="00483C36" w:rsidP="00700FF0">
      <w:pPr>
        <w:jc w:val="both"/>
        <w:rPr>
          <w:sz w:val="24"/>
          <w:szCs w:val="24"/>
        </w:rPr>
      </w:pPr>
      <w:r w:rsidRPr="006D2D9D">
        <w:rPr>
          <w:sz w:val="24"/>
          <w:szCs w:val="24"/>
        </w:rPr>
        <w:t xml:space="preserve">Melatonin directly scavenges hydrogen peroxide to form </w:t>
      </w:r>
      <w:r w:rsidRPr="006D2D9D">
        <w:rPr>
          <w:i/>
          <w:sz w:val="24"/>
          <w:szCs w:val="24"/>
        </w:rPr>
        <w:t>N</w:t>
      </w:r>
      <w:r w:rsidRPr="006D2D9D">
        <w:rPr>
          <w:sz w:val="24"/>
          <w:szCs w:val="24"/>
          <w:vertAlign w:val="superscript"/>
        </w:rPr>
        <w:t xml:space="preserve">1 </w:t>
      </w:r>
      <w:r w:rsidRPr="006D2D9D">
        <w:rPr>
          <w:sz w:val="24"/>
          <w:szCs w:val="24"/>
        </w:rPr>
        <w:t>–acetyl-</w:t>
      </w:r>
      <w:r w:rsidRPr="006D2D9D">
        <w:rPr>
          <w:i/>
          <w:sz w:val="24"/>
          <w:szCs w:val="24"/>
        </w:rPr>
        <w:t>N</w:t>
      </w:r>
      <w:r w:rsidRPr="006D2D9D">
        <w:rPr>
          <w:sz w:val="24"/>
          <w:szCs w:val="24"/>
          <w:vertAlign w:val="superscript"/>
        </w:rPr>
        <w:t xml:space="preserve">2 </w:t>
      </w:r>
      <w:r w:rsidRPr="006D2D9D">
        <w:rPr>
          <w:sz w:val="24"/>
          <w:szCs w:val="24"/>
        </w:rPr>
        <w:t xml:space="preserve">–forms </w:t>
      </w:r>
      <w:r w:rsidRPr="006D2D9D">
        <w:rPr>
          <w:i/>
          <w:sz w:val="24"/>
          <w:szCs w:val="24"/>
        </w:rPr>
        <w:t>N</w:t>
      </w:r>
      <w:r w:rsidRPr="006D2D9D">
        <w:rPr>
          <w:sz w:val="24"/>
          <w:szCs w:val="24"/>
          <w:vertAlign w:val="superscript"/>
        </w:rPr>
        <w:t xml:space="preserve">1 </w:t>
      </w:r>
      <w:r w:rsidRPr="006D2D9D">
        <w:rPr>
          <w:sz w:val="24"/>
          <w:szCs w:val="24"/>
        </w:rPr>
        <w:t xml:space="preserve">–acetyl-5-methoxy </w:t>
      </w:r>
      <w:proofErr w:type="spellStart"/>
      <w:r w:rsidRPr="006D2D9D">
        <w:rPr>
          <w:sz w:val="24"/>
          <w:szCs w:val="24"/>
        </w:rPr>
        <w:t>Kynuramine</w:t>
      </w:r>
      <w:proofErr w:type="spellEnd"/>
      <w:r w:rsidRPr="006D2D9D">
        <w:rPr>
          <w:sz w:val="24"/>
          <w:szCs w:val="24"/>
        </w:rPr>
        <w:t xml:space="preserve"> (Tan et al. 2000). These biogenic amines could also scavenge hydroxyl radicals and reduce lipid peroxidation. Ammonium acetate may deplete the levels of α-KG and other Krebs cycle intermediates (Yamamoto 1989) and thus elevate th</w:t>
      </w:r>
      <w:r w:rsidR="00442A97">
        <w:rPr>
          <w:sz w:val="24"/>
          <w:szCs w:val="24"/>
        </w:rPr>
        <w:t>e levels of acetyl coenzyme A. T</w:t>
      </w:r>
      <w:r w:rsidRPr="006D2D9D">
        <w:rPr>
          <w:sz w:val="24"/>
          <w:szCs w:val="24"/>
        </w:rPr>
        <w:t>he elevated levels of acetyl coenzyme A may increase the levels of lipid profile variables (free fatty acids, triglycerides, phospholipids and</w:t>
      </w:r>
      <w:r w:rsidR="00DE49F4">
        <w:rPr>
          <w:sz w:val="24"/>
          <w:szCs w:val="24"/>
        </w:rPr>
        <w:t xml:space="preserve"> cholesterol) as observed in our</w:t>
      </w:r>
      <w:r w:rsidRPr="006D2D9D">
        <w:rPr>
          <w:sz w:val="24"/>
          <w:szCs w:val="24"/>
        </w:rPr>
        <w:t xml:space="preserve"> </w:t>
      </w:r>
      <w:r w:rsidR="00DE49F4">
        <w:rPr>
          <w:sz w:val="24"/>
          <w:szCs w:val="24"/>
        </w:rPr>
        <w:t>stu</w:t>
      </w:r>
      <w:r w:rsidR="00523DDC">
        <w:rPr>
          <w:sz w:val="24"/>
          <w:szCs w:val="24"/>
        </w:rPr>
        <w:t xml:space="preserve">dy. The decreased α-KG levels in rats treated with ammonium </w:t>
      </w:r>
      <w:r w:rsidRPr="006D2D9D">
        <w:rPr>
          <w:sz w:val="24"/>
          <w:szCs w:val="24"/>
        </w:rPr>
        <w:t>acetate might be reversed during treatment with melatonin,</w:t>
      </w:r>
      <w:r w:rsidR="000E3637">
        <w:rPr>
          <w:sz w:val="24"/>
          <w:szCs w:val="24"/>
        </w:rPr>
        <w:t xml:space="preserve"> </w:t>
      </w:r>
      <w:r w:rsidRPr="006D2D9D">
        <w:rPr>
          <w:sz w:val="24"/>
          <w:szCs w:val="24"/>
        </w:rPr>
        <w:t>since melatonin was found to reduce these levels (</w:t>
      </w:r>
      <w:proofErr w:type="spellStart"/>
      <w:r w:rsidRPr="006D2D9D">
        <w:rPr>
          <w:sz w:val="24"/>
          <w:szCs w:val="24"/>
        </w:rPr>
        <w:t>Baydas</w:t>
      </w:r>
      <w:proofErr w:type="spellEnd"/>
      <w:r w:rsidRPr="006D2D9D">
        <w:rPr>
          <w:sz w:val="24"/>
          <w:szCs w:val="24"/>
        </w:rPr>
        <w:t xml:space="preserve"> et al. 2002).</w:t>
      </w:r>
    </w:p>
    <w:p w:rsidR="00483C36" w:rsidRPr="006D2D9D" w:rsidRDefault="00483C36" w:rsidP="00700FF0">
      <w:pPr>
        <w:jc w:val="both"/>
        <w:rPr>
          <w:sz w:val="24"/>
          <w:szCs w:val="24"/>
        </w:rPr>
      </w:pPr>
      <w:r w:rsidRPr="006D2D9D">
        <w:rPr>
          <w:sz w:val="24"/>
          <w:szCs w:val="24"/>
        </w:rPr>
        <w:lastRenderedPageBreak/>
        <w:t xml:space="preserve">Our results suggest that melatonin could control the oxidative stress caused by </w:t>
      </w:r>
      <w:proofErr w:type="spellStart"/>
      <w:r w:rsidRPr="006D2D9D">
        <w:rPr>
          <w:sz w:val="24"/>
          <w:szCs w:val="24"/>
        </w:rPr>
        <w:t>hyperammonemia</w:t>
      </w:r>
      <w:proofErr w:type="spellEnd"/>
      <w:r w:rsidRPr="006D2D9D">
        <w:rPr>
          <w:sz w:val="24"/>
          <w:szCs w:val="24"/>
        </w:rPr>
        <w:t xml:space="preserve"> by (</w:t>
      </w:r>
      <w:proofErr w:type="spellStart"/>
      <w:r w:rsidRPr="006D2D9D">
        <w:rPr>
          <w:sz w:val="24"/>
          <w:szCs w:val="24"/>
        </w:rPr>
        <w:t>i</w:t>
      </w:r>
      <w:proofErr w:type="spellEnd"/>
      <w:r w:rsidRPr="006D2D9D">
        <w:rPr>
          <w:sz w:val="24"/>
          <w:szCs w:val="24"/>
        </w:rPr>
        <w:t xml:space="preserve">) directly scavenging a variety of radicals and reactive oxygen species (ii) inducing </w:t>
      </w:r>
      <w:proofErr w:type="spellStart"/>
      <w:r w:rsidRPr="006D2D9D">
        <w:rPr>
          <w:sz w:val="24"/>
          <w:szCs w:val="24"/>
        </w:rPr>
        <w:t>antioxidative</w:t>
      </w:r>
      <w:proofErr w:type="spellEnd"/>
      <w:r w:rsidRPr="006D2D9D">
        <w:rPr>
          <w:sz w:val="24"/>
          <w:szCs w:val="24"/>
        </w:rPr>
        <w:t xml:space="preserve"> enzymes which reduce steady state levels of reactive oxygen species and by (iii) stabilizing cell membranes which assist them in reducing oxidative damage.</w:t>
      </w:r>
    </w:p>
    <w:p w:rsidR="00483C36" w:rsidRDefault="00483C36" w:rsidP="00700FF0">
      <w:pPr>
        <w:jc w:val="both"/>
        <w:rPr>
          <w:sz w:val="24"/>
          <w:szCs w:val="24"/>
        </w:rPr>
      </w:pPr>
    </w:p>
    <w:p w:rsidR="00DE49F4" w:rsidRDefault="00A33FBB" w:rsidP="00700FF0">
      <w:pPr>
        <w:jc w:val="both"/>
      </w:pPr>
      <w:r>
        <w:t>Table 3</w:t>
      </w:r>
      <w:r w:rsidR="00DE49F4">
        <w:t>: Changes of lipid profiles in liver tissue</w:t>
      </w:r>
    </w:p>
    <w:tbl>
      <w:tblPr>
        <w:tblStyle w:val="TableGrid"/>
        <w:tblW w:w="0" w:type="auto"/>
        <w:tblLook w:val="04A0" w:firstRow="1" w:lastRow="0" w:firstColumn="1" w:lastColumn="0" w:noHBand="0" w:noVBand="1"/>
      </w:tblPr>
      <w:tblGrid>
        <w:gridCol w:w="1915"/>
        <w:gridCol w:w="1915"/>
        <w:gridCol w:w="1915"/>
        <w:gridCol w:w="1915"/>
        <w:gridCol w:w="1916"/>
      </w:tblGrid>
      <w:tr w:rsidR="00DE49F4" w:rsidTr="003C4E52">
        <w:tc>
          <w:tcPr>
            <w:tcW w:w="1915" w:type="dxa"/>
          </w:tcPr>
          <w:p w:rsidR="00DE49F4" w:rsidRPr="0092001D" w:rsidRDefault="00A3060C" w:rsidP="00700FF0">
            <w:pPr>
              <w:jc w:val="both"/>
            </w:pPr>
            <w:r w:rsidRPr="0092001D">
              <w:t>P</w:t>
            </w:r>
            <w:r w:rsidR="00DE49F4" w:rsidRPr="0092001D">
              <w:t>arameter</w:t>
            </w:r>
          </w:p>
        </w:tc>
        <w:tc>
          <w:tcPr>
            <w:tcW w:w="1915" w:type="dxa"/>
          </w:tcPr>
          <w:p w:rsidR="00DE49F4" w:rsidRDefault="00442A97" w:rsidP="00700FF0">
            <w:pPr>
              <w:jc w:val="both"/>
            </w:pPr>
            <w:proofErr w:type="spellStart"/>
            <w:r>
              <w:t>GroupI</w:t>
            </w:r>
            <w:proofErr w:type="spellEnd"/>
          </w:p>
        </w:tc>
        <w:tc>
          <w:tcPr>
            <w:tcW w:w="1915" w:type="dxa"/>
          </w:tcPr>
          <w:p w:rsidR="00DE49F4" w:rsidRDefault="00442A97" w:rsidP="00700FF0">
            <w:pPr>
              <w:jc w:val="both"/>
            </w:pPr>
            <w:proofErr w:type="spellStart"/>
            <w:r>
              <w:t>GroupII</w:t>
            </w:r>
            <w:proofErr w:type="spellEnd"/>
          </w:p>
        </w:tc>
        <w:tc>
          <w:tcPr>
            <w:tcW w:w="1915" w:type="dxa"/>
          </w:tcPr>
          <w:p w:rsidR="00DE49F4" w:rsidRDefault="00442A97" w:rsidP="00700FF0">
            <w:pPr>
              <w:jc w:val="both"/>
            </w:pPr>
            <w:proofErr w:type="spellStart"/>
            <w:r>
              <w:t>GroupIII</w:t>
            </w:r>
            <w:proofErr w:type="spellEnd"/>
          </w:p>
        </w:tc>
        <w:tc>
          <w:tcPr>
            <w:tcW w:w="1916" w:type="dxa"/>
          </w:tcPr>
          <w:p w:rsidR="00DE49F4" w:rsidRDefault="00FA586B" w:rsidP="00700FF0">
            <w:pPr>
              <w:jc w:val="both"/>
            </w:pPr>
            <w:proofErr w:type="spellStart"/>
            <w:r>
              <w:t>G</w:t>
            </w:r>
            <w:r w:rsidR="00442A97">
              <w:t>roupIV</w:t>
            </w:r>
            <w:proofErr w:type="spellEnd"/>
          </w:p>
        </w:tc>
      </w:tr>
      <w:tr w:rsidR="00DE49F4" w:rsidTr="003C4E52">
        <w:tc>
          <w:tcPr>
            <w:tcW w:w="1915" w:type="dxa"/>
          </w:tcPr>
          <w:p w:rsidR="00DE49F4" w:rsidRPr="0092001D" w:rsidRDefault="00DE49F4" w:rsidP="00700FF0">
            <w:pPr>
              <w:jc w:val="both"/>
              <w:rPr>
                <w:sz w:val="24"/>
                <w:szCs w:val="24"/>
              </w:rPr>
            </w:pPr>
            <w:r w:rsidRPr="0092001D">
              <w:rPr>
                <w:sz w:val="24"/>
                <w:szCs w:val="24"/>
              </w:rPr>
              <w:t>Free fatty acid</w:t>
            </w:r>
          </w:p>
          <w:p w:rsidR="00DE49F4" w:rsidRDefault="00DE49F4" w:rsidP="00700FF0">
            <w:pPr>
              <w:jc w:val="both"/>
            </w:pPr>
            <w:r w:rsidRPr="0092001D">
              <w:rPr>
                <w:sz w:val="24"/>
                <w:szCs w:val="24"/>
              </w:rPr>
              <w:t>(mg/100g tissue)</w:t>
            </w:r>
          </w:p>
        </w:tc>
        <w:tc>
          <w:tcPr>
            <w:tcW w:w="1915" w:type="dxa"/>
          </w:tcPr>
          <w:p w:rsidR="00DE49F4" w:rsidRDefault="00DE49F4" w:rsidP="00700FF0">
            <w:pPr>
              <w:jc w:val="both"/>
            </w:pPr>
            <w:r>
              <w:t>596.76 ± 57.53</w:t>
            </w:r>
          </w:p>
        </w:tc>
        <w:tc>
          <w:tcPr>
            <w:tcW w:w="1915" w:type="dxa"/>
          </w:tcPr>
          <w:p w:rsidR="00DE49F4" w:rsidRPr="00455C40" w:rsidRDefault="00DE49F4" w:rsidP="00700FF0">
            <w:pPr>
              <w:jc w:val="both"/>
              <w:rPr>
                <w:vertAlign w:val="superscript"/>
              </w:rPr>
            </w:pPr>
            <w:r>
              <w:t>910.75 ± 73.13</w:t>
            </w:r>
            <w:r w:rsidR="00455C40">
              <w:rPr>
                <w:vertAlign w:val="superscript"/>
              </w:rPr>
              <w:t>xxx</w:t>
            </w:r>
          </w:p>
        </w:tc>
        <w:tc>
          <w:tcPr>
            <w:tcW w:w="1915" w:type="dxa"/>
          </w:tcPr>
          <w:p w:rsidR="00DE49F4" w:rsidRPr="00455C40" w:rsidRDefault="00DE49F4" w:rsidP="00700FF0">
            <w:pPr>
              <w:jc w:val="both"/>
              <w:rPr>
                <w:vertAlign w:val="superscript"/>
              </w:rPr>
            </w:pPr>
            <w:r>
              <w:t>748.06 ± 54.69</w:t>
            </w:r>
            <w:r w:rsidR="00455C40">
              <w:rPr>
                <w:vertAlign w:val="superscript"/>
              </w:rPr>
              <w:t>xxx,a</w:t>
            </w:r>
          </w:p>
        </w:tc>
        <w:tc>
          <w:tcPr>
            <w:tcW w:w="1916" w:type="dxa"/>
          </w:tcPr>
          <w:p w:rsidR="00DE49F4" w:rsidRPr="00455C40" w:rsidRDefault="00DE49F4" w:rsidP="00700FF0">
            <w:pPr>
              <w:jc w:val="both"/>
              <w:rPr>
                <w:vertAlign w:val="superscript"/>
              </w:rPr>
            </w:pPr>
            <w:r>
              <w:t>573.30 ± 61.07</w:t>
            </w:r>
            <w:r w:rsidR="00455C40">
              <w:rPr>
                <w:vertAlign w:val="superscript"/>
              </w:rPr>
              <w:t>ns</w:t>
            </w:r>
          </w:p>
        </w:tc>
      </w:tr>
      <w:tr w:rsidR="00DE49F4" w:rsidTr="003C4E52">
        <w:tc>
          <w:tcPr>
            <w:tcW w:w="1915" w:type="dxa"/>
          </w:tcPr>
          <w:p w:rsidR="00DE49F4" w:rsidRPr="0092001D" w:rsidRDefault="00DE49F4" w:rsidP="00700FF0">
            <w:pPr>
              <w:jc w:val="both"/>
              <w:rPr>
                <w:sz w:val="24"/>
                <w:szCs w:val="24"/>
              </w:rPr>
            </w:pPr>
            <w:r w:rsidRPr="0092001D">
              <w:rPr>
                <w:sz w:val="24"/>
                <w:szCs w:val="24"/>
              </w:rPr>
              <w:t>Phospholipids</w:t>
            </w:r>
          </w:p>
          <w:p w:rsidR="00DE49F4" w:rsidRDefault="00DE49F4" w:rsidP="00700FF0">
            <w:pPr>
              <w:jc w:val="both"/>
            </w:pPr>
            <w:r w:rsidRPr="0092001D">
              <w:rPr>
                <w:sz w:val="24"/>
                <w:szCs w:val="24"/>
              </w:rPr>
              <w:t>(mg/100g tissue)</w:t>
            </w:r>
          </w:p>
        </w:tc>
        <w:tc>
          <w:tcPr>
            <w:tcW w:w="1915" w:type="dxa"/>
          </w:tcPr>
          <w:p w:rsidR="00DE49F4" w:rsidRDefault="00DE49F4" w:rsidP="00700FF0">
            <w:pPr>
              <w:jc w:val="both"/>
            </w:pPr>
            <w:r>
              <w:t>950.18 ± 102.82</w:t>
            </w:r>
          </w:p>
        </w:tc>
        <w:tc>
          <w:tcPr>
            <w:tcW w:w="1915" w:type="dxa"/>
          </w:tcPr>
          <w:p w:rsidR="00DE49F4" w:rsidRPr="00455C40" w:rsidRDefault="00DE49F4" w:rsidP="00700FF0">
            <w:pPr>
              <w:jc w:val="both"/>
              <w:rPr>
                <w:vertAlign w:val="superscript"/>
              </w:rPr>
            </w:pPr>
            <w:r>
              <w:t>1618.84 ± 57.37</w:t>
            </w:r>
            <w:r w:rsidR="00455C40">
              <w:rPr>
                <w:vertAlign w:val="superscript"/>
              </w:rPr>
              <w:t>xxx</w:t>
            </w:r>
          </w:p>
        </w:tc>
        <w:tc>
          <w:tcPr>
            <w:tcW w:w="1915" w:type="dxa"/>
          </w:tcPr>
          <w:p w:rsidR="00DE49F4" w:rsidRPr="00455C40" w:rsidRDefault="00DE49F4" w:rsidP="00700FF0">
            <w:pPr>
              <w:jc w:val="both"/>
              <w:rPr>
                <w:vertAlign w:val="superscript"/>
              </w:rPr>
            </w:pPr>
            <w:r>
              <w:t>1299.87 ±98.98</w:t>
            </w:r>
            <w:r w:rsidR="00455C40">
              <w:rPr>
                <w:vertAlign w:val="superscript"/>
              </w:rPr>
              <w:t>xxx,a</w:t>
            </w:r>
          </w:p>
        </w:tc>
        <w:tc>
          <w:tcPr>
            <w:tcW w:w="1916" w:type="dxa"/>
          </w:tcPr>
          <w:p w:rsidR="00DE49F4" w:rsidRPr="00455C40" w:rsidRDefault="00DE49F4" w:rsidP="00700FF0">
            <w:pPr>
              <w:jc w:val="both"/>
              <w:rPr>
                <w:vertAlign w:val="superscript"/>
              </w:rPr>
            </w:pPr>
            <w:r>
              <w:t>941.01 ± 100.33</w:t>
            </w:r>
            <w:r w:rsidR="00455C40">
              <w:rPr>
                <w:vertAlign w:val="superscript"/>
              </w:rPr>
              <w:t>ns</w:t>
            </w:r>
          </w:p>
        </w:tc>
      </w:tr>
      <w:tr w:rsidR="00DE49F4" w:rsidTr="003C4E52">
        <w:tc>
          <w:tcPr>
            <w:tcW w:w="1915" w:type="dxa"/>
          </w:tcPr>
          <w:p w:rsidR="00DE49F4" w:rsidRPr="0092001D" w:rsidRDefault="00DE49F4" w:rsidP="00700FF0">
            <w:pPr>
              <w:jc w:val="both"/>
              <w:rPr>
                <w:sz w:val="24"/>
                <w:szCs w:val="24"/>
              </w:rPr>
            </w:pPr>
            <w:r w:rsidRPr="0092001D">
              <w:rPr>
                <w:sz w:val="24"/>
                <w:szCs w:val="24"/>
              </w:rPr>
              <w:t>Triglycerides</w:t>
            </w:r>
          </w:p>
          <w:p w:rsidR="00DE49F4" w:rsidRDefault="00DE49F4" w:rsidP="00700FF0">
            <w:pPr>
              <w:jc w:val="both"/>
            </w:pPr>
            <w:r w:rsidRPr="0092001D">
              <w:rPr>
                <w:sz w:val="24"/>
                <w:szCs w:val="24"/>
              </w:rPr>
              <w:t>(mg/100g tissue)</w:t>
            </w:r>
          </w:p>
        </w:tc>
        <w:tc>
          <w:tcPr>
            <w:tcW w:w="1915" w:type="dxa"/>
          </w:tcPr>
          <w:p w:rsidR="00DE49F4" w:rsidRDefault="00DE49F4" w:rsidP="00700FF0">
            <w:pPr>
              <w:jc w:val="both"/>
            </w:pPr>
            <w:r>
              <w:t>342.84 ± 29.04</w:t>
            </w:r>
          </w:p>
        </w:tc>
        <w:tc>
          <w:tcPr>
            <w:tcW w:w="1915" w:type="dxa"/>
          </w:tcPr>
          <w:p w:rsidR="00DE49F4" w:rsidRPr="00455C40" w:rsidRDefault="00DE49F4" w:rsidP="00700FF0">
            <w:pPr>
              <w:jc w:val="both"/>
              <w:rPr>
                <w:vertAlign w:val="superscript"/>
              </w:rPr>
            </w:pPr>
            <w:r>
              <w:t>653.06 ± 32.84</w:t>
            </w:r>
            <w:r w:rsidR="00455C40">
              <w:rPr>
                <w:vertAlign w:val="superscript"/>
              </w:rPr>
              <w:t>xxx</w:t>
            </w:r>
          </w:p>
        </w:tc>
        <w:tc>
          <w:tcPr>
            <w:tcW w:w="1915" w:type="dxa"/>
          </w:tcPr>
          <w:p w:rsidR="00DE49F4" w:rsidRPr="00455C40" w:rsidRDefault="00DE49F4" w:rsidP="00700FF0">
            <w:pPr>
              <w:jc w:val="both"/>
              <w:rPr>
                <w:vertAlign w:val="superscript"/>
              </w:rPr>
            </w:pPr>
            <w:r>
              <w:t>422.78 ± 30.14</w:t>
            </w:r>
            <w:r w:rsidR="00455C40">
              <w:rPr>
                <w:vertAlign w:val="superscript"/>
              </w:rPr>
              <w:t>xxx,a</w:t>
            </w:r>
          </w:p>
        </w:tc>
        <w:tc>
          <w:tcPr>
            <w:tcW w:w="1916" w:type="dxa"/>
          </w:tcPr>
          <w:p w:rsidR="00DE49F4" w:rsidRPr="00455C40" w:rsidRDefault="00DE49F4" w:rsidP="00700FF0">
            <w:pPr>
              <w:jc w:val="both"/>
              <w:rPr>
                <w:vertAlign w:val="superscript"/>
              </w:rPr>
            </w:pPr>
            <w:r>
              <w:t>458.83 ±  33.75</w:t>
            </w:r>
            <w:r w:rsidR="00455C40">
              <w:rPr>
                <w:vertAlign w:val="superscript"/>
              </w:rPr>
              <w:t>xxx,a</w:t>
            </w:r>
          </w:p>
        </w:tc>
      </w:tr>
      <w:tr w:rsidR="00DE49F4" w:rsidTr="003C4E52">
        <w:tc>
          <w:tcPr>
            <w:tcW w:w="1915" w:type="dxa"/>
          </w:tcPr>
          <w:p w:rsidR="00DE49F4" w:rsidRPr="0092001D" w:rsidRDefault="00DE49F4" w:rsidP="00700FF0">
            <w:pPr>
              <w:jc w:val="both"/>
              <w:rPr>
                <w:sz w:val="24"/>
                <w:szCs w:val="24"/>
              </w:rPr>
            </w:pPr>
            <w:r w:rsidRPr="0092001D">
              <w:rPr>
                <w:sz w:val="24"/>
                <w:szCs w:val="24"/>
              </w:rPr>
              <w:t>Cholesterol</w:t>
            </w:r>
          </w:p>
          <w:p w:rsidR="00DE49F4" w:rsidRDefault="00DE49F4" w:rsidP="00700FF0">
            <w:pPr>
              <w:jc w:val="both"/>
            </w:pPr>
            <w:r w:rsidRPr="0092001D">
              <w:rPr>
                <w:sz w:val="24"/>
                <w:szCs w:val="24"/>
              </w:rPr>
              <w:t>(mg/100g tissue)</w:t>
            </w:r>
          </w:p>
        </w:tc>
        <w:tc>
          <w:tcPr>
            <w:tcW w:w="1915" w:type="dxa"/>
          </w:tcPr>
          <w:p w:rsidR="00DE49F4" w:rsidRDefault="00DE49F4" w:rsidP="00700FF0">
            <w:pPr>
              <w:jc w:val="both"/>
            </w:pPr>
            <w:r>
              <w:t>348.62 ± 32.67</w:t>
            </w:r>
          </w:p>
        </w:tc>
        <w:tc>
          <w:tcPr>
            <w:tcW w:w="1915" w:type="dxa"/>
          </w:tcPr>
          <w:p w:rsidR="00DE49F4" w:rsidRPr="00455C40" w:rsidRDefault="00DE49F4" w:rsidP="00700FF0">
            <w:pPr>
              <w:jc w:val="both"/>
              <w:rPr>
                <w:sz w:val="24"/>
                <w:szCs w:val="24"/>
                <w:vertAlign w:val="superscript"/>
              </w:rPr>
            </w:pPr>
            <w:r>
              <w:rPr>
                <w:sz w:val="24"/>
                <w:szCs w:val="24"/>
              </w:rPr>
              <w:t>565.86 ± 55.47</w:t>
            </w:r>
            <w:r w:rsidR="00455C40">
              <w:rPr>
                <w:sz w:val="24"/>
                <w:szCs w:val="24"/>
                <w:vertAlign w:val="superscript"/>
              </w:rPr>
              <w:t>xxx</w:t>
            </w:r>
          </w:p>
        </w:tc>
        <w:tc>
          <w:tcPr>
            <w:tcW w:w="1915" w:type="dxa"/>
          </w:tcPr>
          <w:p w:rsidR="00DE49F4" w:rsidRPr="00455C40" w:rsidRDefault="00DE49F4" w:rsidP="00700FF0">
            <w:pPr>
              <w:jc w:val="both"/>
              <w:rPr>
                <w:vertAlign w:val="superscript"/>
              </w:rPr>
            </w:pPr>
            <w:r>
              <w:t>458.83 ±  33.75</w:t>
            </w:r>
            <w:r w:rsidR="00455C40">
              <w:rPr>
                <w:vertAlign w:val="superscript"/>
              </w:rPr>
              <w:t>xxx,a</w:t>
            </w:r>
          </w:p>
        </w:tc>
        <w:tc>
          <w:tcPr>
            <w:tcW w:w="1916" w:type="dxa"/>
          </w:tcPr>
          <w:p w:rsidR="00DE49F4" w:rsidRPr="00455C40" w:rsidRDefault="00455C40" w:rsidP="00700FF0">
            <w:pPr>
              <w:jc w:val="both"/>
              <w:rPr>
                <w:sz w:val="24"/>
                <w:szCs w:val="24"/>
                <w:vertAlign w:val="superscript"/>
              </w:rPr>
            </w:pPr>
            <w:r>
              <w:t>340.62</w:t>
            </w:r>
            <w:r w:rsidR="00DE49F4">
              <w:t xml:space="preserve">  ± 30.41</w:t>
            </w:r>
            <w:r>
              <w:rPr>
                <w:vertAlign w:val="superscript"/>
              </w:rPr>
              <w:t>ns</w:t>
            </w:r>
          </w:p>
        </w:tc>
      </w:tr>
    </w:tbl>
    <w:p w:rsidR="00DE49F4" w:rsidRDefault="00DE49F4" w:rsidP="00700FF0">
      <w:pPr>
        <w:jc w:val="both"/>
      </w:pPr>
    </w:p>
    <w:p w:rsidR="002D751E" w:rsidRDefault="00DE49F4" w:rsidP="00700FF0">
      <w:pPr>
        <w:jc w:val="both"/>
      </w:pPr>
      <w:r>
        <w:t>Statistical significance was evaluated using ANOVA followed by Least Significant Difference (LSD) test.</w:t>
      </w:r>
    </w:p>
    <w:p w:rsidR="002D751E" w:rsidRDefault="00DE49F4" w:rsidP="00700FF0">
      <w:pPr>
        <w:jc w:val="both"/>
      </w:pPr>
      <w:r>
        <w:t xml:space="preserve"> Group II is compared with Group I (</w:t>
      </w:r>
      <w:r>
        <w:rPr>
          <w:vertAlign w:val="superscript"/>
        </w:rPr>
        <w:t>a</w:t>
      </w:r>
      <w:r>
        <w:t xml:space="preserve"> p &lt;o.oo1)</w:t>
      </w:r>
      <w:r w:rsidR="002D751E">
        <w:t xml:space="preserve">. Group III is compared with </w:t>
      </w:r>
      <w:r>
        <w:t>Group II (p &lt; 0.001).</w:t>
      </w:r>
    </w:p>
    <w:p w:rsidR="008A44E8" w:rsidRPr="000F5B94" w:rsidRDefault="00DE49F4" w:rsidP="00700FF0">
      <w:pPr>
        <w:jc w:val="both"/>
      </w:pPr>
      <w:r>
        <w:t>Group IV is compared with Group I;</w:t>
      </w:r>
      <w:r w:rsidR="00A33FBB">
        <w:t xml:space="preserve"> ns not</w:t>
      </w:r>
      <w:r>
        <w:t xml:space="preserve"> significant.</w:t>
      </w:r>
    </w:p>
    <w:p w:rsidR="008A44E8" w:rsidRDefault="008A44E8" w:rsidP="00700FF0">
      <w:pPr>
        <w:jc w:val="both"/>
        <w:rPr>
          <w:sz w:val="24"/>
          <w:szCs w:val="24"/>
        </w:rPr>
      </w:pPr>
    </w:p>
    <w:p w:rsidR="008A44E8" w:rsidRDefault="008A44E8" w:rsidP="00700FF0">
      <w:pPr>
        <w:jc w:val="both"/>
        <w:rPr>
          <w:sz w:val="24"/>
          <w:szCs w:val="24"/>
        </w:rPr>
      </w:pPr>
    </w:p>
    <w:p w:rsidR="008A44E8" w:rsidRPr="006D2D9D" w:rsidRDefault="008A44E8" w:rsidP="00700FF0">
      <w:pPr>
        <w:jc w:val="both"/>
        <w:rPr>
          <w:sz w:val="24"/>
          <w:szCs w:val="24"/>
        </w:rPr>
      </w:pPr>
    </w:p>
    <w:p w:rsidR="001E130F" w:rsidRDefault="00B12AE1" w:rsidP="00700FF0">
      <w:pPr>
        <w:jc w:val="both"/>
        <w:rPr>
          <w:sz w:val="24"/>
          <w:szCs w:val="24"/>
        </w:rPr>
      </w:pPr>
      <w:r w:rsidRPr="006D2D9D">
        <w:rPr>
          <w:sz w:val="24"/>
          <w:szCs w:val="24"/>
        </w:rPr>
        <w:t xml:space="preserve">3. </w:t>
      </w:r>
      <w:r w:rsidR="00DD7730" w:rsidRPr="006D2D9D">
        <w:rPr>
          <w:sz w:val="24"/>
          <w:szCs w:val="24"/>
        </w:rPr>
        <w:t>References:</w:t>
      </w:r>
    </w:p>
    <w:p w:rsidR="001E130F" w:rsidRDefault="001E130F" w:rsidP="00700FF0">
      <w:pPr>
        <w:jc w:val="both"/>
        <w:rPr>
          <w:sz w:val="24"/>
          <w:szCs w:val="24"/>
        </w:rPr>
      </w:pPr>
      <w:r w:rsidRPr="001E130F">
        <w:rPr>
          <w:sz w:val="24"/>
          <w:szCs w:val="24"/>
        </w:rPr>
        <w:lastRenderedPageBreak/>
        <w:t xml:space="preserve"> </w:t>
      </w:r>
      <w:proofErr w:type="spellStart"/>
      <w:r>
        <w:rPr>
          <w:sz w:val="24"/>
          <w:szCs w:val="24"/>
        </w:rPr>
        <w:t>PlumF</w:t>
      </w:r>
      <w:proofErr w:type="spellEnd"/>
      <w:r>
        <w:rPr>
          <w:sz w:val="24"/>
          <w:szCs w:val="24"/>
        </w:rPr>
        <w:t xml:space="preserve">, </w:t>
      </w:r>
      <w:proofErr w:type="spellStart"/>
      <w:r>
        <w:rPr>
          <w:sz w:val="24"/>
          <w:szCs w:val="24"/>
        </w:rPr>
        <w:t>Hindfelt</w:t>
      </w:r>
      <w:proofErr w:type="spellEnd"/>
      <w:r>
        <w:rPr>
          <w:sz w:val="24"/>
          <w:szCs w:val="24"/>
        </w:rPr>
        <w:t xml:space="preserve"> B, </w:t>
      </w:r>
      <w:proofErr w:type="gramStart"/>
      <w:r>
        <w:rPr>
          <w:sz w:val="24"/>
          <w:szCs w:val="24"/>
        </w:rPr>
        <w:t>In :</w:t>
      </w:r>
      <w:proofErr w:type="gramEnd"/>
      <w:r>
        <w:rPr>
          <w:sz w:val="24"/>
          <w:szCs w:val="24"/>
        </w:rPr>
        <w:t xml:space="preserve"> </w:t>
      </w:r>
      <w:proofErr w:type="spellStart"/>
      <w:r>
        <w:rPr>
          <w:sz w:val="24"/>
          <w:szCs w:val="24"/>
        </w:rPr>
        <w:t>Vinken</w:t>
      </w:r>
      <w:proofErr w:type="spellEnd"/>
      <w:r>
        <w:rPr>
          <w:sz w:val="24"/>
          <w:szCs w:val="24"/>
        </w:rPr>
        <w:t xml:space="preserve"> PJ., </w:t>
      </w:r>
      <w:proofErr w:type="spellStart"/>
      <w:r>
        <w:rPr>
          <w:sz w:val="24"/>
          <w:szCs w:val="24"/>
        </w:rPr>
        <w:t>Bruyn</w:t>
      </w:r>
      <w:proofErr w:type="spellEnd"/>
      <w:r>
        <w:rPr>
          <w:sz w:val="24"/>
          <w:szCs w:val="24"/>
        </w:rPr>
        <w:t xml:space="preserve"> GW., </w:t>
      </w:r>
      <w:proofErr w:type="spellStart"/>
      <w:r>
        <w:rPr>
          <w:sz w:val="24"/>
          <w:szCs w:val="24"/>
        </w:rPr>
        <w:t>Klawans</w:t>
      </w:r>
      <w:proofErr w:type="spellEnd"/>
      <w:r>
        <w:rPr>
          <w:sz w:val="24"/>
          <w:szCs w:val="24"/>
        </w:rPr>
        <w:t xml:space="preserve"> HI : Eds. Metabolic and deficiency disease of nervous system : the neurological complications of liver disease. New York, Elsevier 1976,349</w:t>
      </w:r>
    </w:p>
    <w:p w:rsidR="001E130F" w:rsidRDefault="00D37A06" w:rsidP="00700FF0">
      <w:pPr>
        <w:jc w:val="both"/>
        <w:rPr>
          <w:sz w:val="24"/>
          <w:szCs w:val="24"/>
        </w:rPr>
      </w:pPr>
      <w:r>
        <w:rPr>
          <w:sz w:val="24"/>
          <w:szCs w:val="24"/>
        </w:rPr>
        <w:t xml:space="preserve">Meijer AJ, </w:t>
      </w:r>
      <w:proofErr w:type="spellStart"/>
      <w:r>
        <w:rPr>
          <w:sz w:val="24"/>
          <w:szCs w:val="24"/>
        </w:rPr>
        <w:t>Lamers</w:t>
      </w:r>
      <w:proofErr w:type="spellEnd"/>
      <w:r>
        <w:rPr>
          <w:sz w:val="24"/>
          <w:szCs w:val="24"/>
        </w:rPr>
        <w:t xml:space="preserve"> WH, </w:t>
      </w:r>
      <w:proofErr w:type="spellStart"/>
      <w:r>
        <w:rPr>
          <w:sz w:val="24"/>
          <w:szCs w:val="24"/>
        </w:rPr>
        <w:t>Chamuleau</w:t>
      </w:r>
      <w:proofErr w:type="spellEnd"/>
      <w:r>
        <w:rPr>
          <w:sz w:val="24"/>
          <w:szCs w:val="24"/>
        </w:rPr>
        <w:t xml:space="preserve"> RAFM (1990) Nitrogen metabolism and ornithine </w:t>
      </w:r>
      <w:proofErr w:type="gramStart"/>
      <w:r>
        <w:rPr>
          <w:sz w:val="24"/>
          <w:szCs w:val="24"/>
        </w:rPr>
        <w:t>cycle  function</w:t>
      </w:r>
      <w:proofErr w:type="gramEnd"/>
      <w:r>
        <w:rPr>
          <w:sz w:val="24"/>
          <w:szCs w:val="24"/>
        </w:rPr>
        <w:t xml:space="preserve"> </w:t>
      </w:r>
      <w:proofErr w:type="spellStart"/>
      <w:r>
        <w:rPr>
          <w:sz w:val="24"/>
          <w:szCs w:val="24"/>
        </w:rPr>
        <w:t>Physiol</w:t>
      </w:r>
      <w:proofErr w:type="spellEnd"/>
      <w:r>
        <w:rPr>
          <w:sz w:val="24"/>
          <w:szCs w:val="24"/>
        </w:rPr>
        <w:t xml:space="preserve"> Rev 70 :701 – 748.</w:t>
      </w:r>
    </w:p>
    <w:p w:rsidR="00204CE5" w:rsidRDefault="00D92AEC" w:rsidP="00700FF0">
      <w:pPr>
        <w:jc w:val="both"/>
        <w:rPr>
          <w:sz w:val="24"/>
          <w:szCs w:val="24"/>
        </w:rPr>
      </w:pPr>
      <w:r w:rsidRPr="006D2D9D">
        <w:rPr>
          <w:sz w:val="24"/>
          <w:szCs w:val="24"/>
        </w:rPr>
        <w:t xml:space="preserve">Butterworth RF, </w:t>
      </w:r>
      <w:proofErr w:type="spellStart"/>
      <w:r w:rsidRPr="006D2D9D">
        <w:rPr>
          <w:sz w:val="24"/>
          <w:szCs w:val="24"/>
        </w:rPr>
        <w:t>Giguere</w:t>
      </w:r>
      <w:proofErr w:type="spellEnd"/>
      <w:r w:rsidRPr="006D2D9D">
        <w:rPr>
          <w:sz w:val="24"/>
          <w:szCs w:val="24"/>
        </w:rPr>
        <w:t xml:space="preserve"> JF, Michaud J, Lavoie J, </w:t>
      </w:r>
      <w:proofErr w:type="spellStart"/>
      <w:r w:rsidRPr="006D2D9D">
        <w:rPr>
          <w:sz w:val="24"/>
          <w:szCs w:val="24"/>
        </w:rPr>
        <w:t>Pomier-Layrargues</w:t>
      </w:r>
      <w:proofErr w:type="spellEnd"/>
      <w:r w:rsidRPr="006D2D9D">
        <w:rPr>
          <w:sz w:val="24"/>
          <w:szCs w:val="24"/>
        </w:rPr>
        <w:t xml:space="preserve"> G (1987) Ammonia: key factor in </w:t>
      </w:r>
      <w:proofErr w:type="spellStart"/>
      <w:r w:rsidRPr="006D2D9D">
        <w:rPr>
          <w:sz w:val="24"/>
          <w:szCs w:val="24"/>
        </w:rPr>
        <w:t>thr</w:t>
      </w:r>
      <w:proofErr w:type="spellEnd"/>
      <w:r w:rsidRPr="006D2D9D">
        <w:rPr>
          <w:sz w:val="24"/>
          <w:szCs w:val="24"/>
        </w:rPr>
        <w:t xml:space="preserve"> </w:t>
      </w:r>
      <w:proofErr w:type="spellStart"/>
      <w:r w:rsidRPr="006D2D9D">
        <w:rPr>
          <w:sz w:val="24"/>
          <w:szCs w:val="24"/>
        </w:rPr>
        <w:t>pathohenesis</w:t>
      </w:r>
      <w:proofErr w:type="spellEnd"/>
      <w:r w:rsidRPr="006D2D9D">
        <w:rPr>
          <w:sz w:val="24"/>
          <w:szCs w:val="24"/>
        </w:rPr>
        <w:t xml:space="preserve"> of hepatic encephalopathy. </w:t>
      </w:r>
      <w:proofErr w:type="spellStart"/>
      <w:r w:rsidRPr="006D2D9D">
        <w:rPr>
          <w:sz w:val="24"/>
          <w:szCs w:val="24"/>
        </w:rPr>
        <w:t>Neurochem</w:t>
      </w:r>
      <w:proofErr w:type="spellEnd"/>
      <w:r w:rsidRPr="006D2D9D">
        <w:rPr>
          <w:sz w:val="24"/>
          <w:szCs w:val="24"/>
        </w:rPr>
        <w:t xml:space="preserve"> </w:t>
      </w:r>
      <w:proofErr w:type="spellStart"/>
      <w:r w:rsidRPr="006D2D9D">
        <w:rPr>
          <w:sz w:val="24"/>
          <w:szCs w:val="24"/>
        </w:rPr>
        <w:t>Pathol</w:t>
      </w:r>
      <w:proofErr w:type="spellEnd"/>
      <w:r w:rsidRPr="006D2D9D">
        <w:rPr>
          <w:sz w:val="24"/>
          <w:szCs w:val="24"/>
        </w:rPr>
        <w:t xml:space="preserve"> 6: 1-12</w:t>
      </w:r>
    </w:p>
    <w:p w:rsidR="00204CE5" w:rsidRPr="006D2D9D" w:rsidRDefault="00204CE5" w:rsidP="00700FF0">
      <w:pPr>
        <w:jc w:val="both"/>
        <w:rPr>
          <w:sz w:val="24"/>
          <w:szCs w:val="24"/>
        </w:rPr>
      </w:pPr>
      <w:proofErr w:type="gramStart"/>
      <w:r w:rsidRPr="006D2D9D">
        <w:rPr>
          <w:sz w:val="24"/>
          <w:szCs w:val="24"/>
        </w:rPr>
        <w:t>Butterworth RF (1995) Hepatic encephalopathy.</w:t>
      </w:r>
      <w:proofErr w:type="gramEnd"/>
      <w:r w:rsidRPr="006D2D9D">
        <w:rPr>
          <w:sz w:val="24"/>
          <w:szCs w:val="24"/>
        </w:rPr>
        <w:t xml:space="preserve"> Neurologist 1: 95-104.</w:t>
      </w:r>
    </w:p>
    <w:p w:rsidR="00204CE5" w:rsidRDefault="00204CE5" w:rsidP="00700FF0">
      <w:pPr>
        <w:jc w:val="both"/>
        <w:rPr>
          <w:sz w:val="24"/>
          <w:szCs w:val="24"/>
        </w:rPr>
      </w:pPr>
      <w:proofErr w:type="spellStart"/>
      <w:r>
        <w:rPr>
          <w:sz w:val="24"/>
          <w:szCs w:val="24"/>
        </w:rPr>
        <w:t>Kosenko</w:t>
      </w:r>
      <w:proofErr w:type="spellEnd"/>
      <w:r>
        <w:rPr>
          <w:sz w:val="24"/>
          <w:szCs w:val="24"/>
        </w:rPr>
        <w:t xml:space="preserve"> E., </w:t>
      </w:r>
      <w:proofErr w:type="spellStart"/>
      <w:r>
        <w:rPr>
          <w:sz w:val="24"/>
          <w:szCs w:val="24"/>
        </w:rPr>
        <w:t>KaminskyY</w:t>
      </w:r>
      <w:proofErr w:type="spellEnd"/>
      <w:r>
        <w:rPr>
          <w:sz w:val="24"/>
          <w:szCs w:val="24"/>
        </w:rPr>
        <w:t xml:space="preserve">, </w:t>
      </w:r>
      <w:proofErr w:type="spellStart"/>
      <w:r>
        <w:rPr>
          <w:sz w:val="24"/>
          <w:szCs w:val="24"/>
        </w:rPr>
        <w:t>Kaminsky</w:t>
      </w:r>
      <w:proofErr w:type="spellEnd"/>
      <w:r>
        <w:rPr>
          <w:sz w:val="24"/>
          <w:szCs w:val="24"/>
        </w:rPr>
        <w:t xml:space="preserve"> </w:t>
      </w:r>
      <w:proofErr w:type="spellStart"/>
      <w:r>
        <w:rPr>
          <w:sz w:val="24"/>
          <w:szCs w:val="24"/>
        </w:rPr>
        <w:t>AValencia</w:t>
      </w:r>
      <w:proofErr w:type="spellEnd"/>
      <w:r>
        <w:rPr>
          <w:sz w:val="24"/>
          <w:szCs w:val="24"/>
        </w:rPr>
        <w:t xml:space="preserve"> M., Lee L. </w:t>
      </w:r>
      <w:proofErr w:type="spellStart"/>
      <w:r>
        <w:rPr>
          <w:sz w:val="24"/>
          <w:szCs w:val="24"/>
        </w:rPr>
        <w:t>Hermenegildo</w:t>
      </w:r>
      <w:proofErr w:type="spellEnd"/>
      <w:r>
        <w:rPr>
          <w:sz w:val="24"/>
          <w:szCs w:val="24"/>
        </w:rPr>
        <w:t xml:space="preserve"> C., </w:t>
      </w:r>
      <w:proofErr w:type="spellStart"/>
      <w:r>
        <w:rPr>
          <w:sz w:val="24"/>
          <w:szCs w:val="24"/>
        </w:rPr>
        <w:t>Felipo</w:t>
      </w:r>
      <w:proofErr w:type="spellEnd"/>
      <w:r>
        <w:rPr>
          <w:sz w:val="24"/>
          <w:szCs w:val="24"/>
        </w:rPr>
        <w:t xml:space="preserve"> V Superoxide production and antioxidant enzymes in ammonia intoxication in rats. Free Radical Res 1997 27, 637-644.</w:t>
      </w:r>
    </w:p>
    <w:p w:rsidR="00204CE5" w:rsidRDefault="00204CE5" w:rsidP="00700FF0">
      <w:pPr>
        <w:jc w:val="both"/>
        <w:rPr>
          <w:sz w:val="24"/>
          <w:szCs w:val="24"/>
        </w:rPr>
      </w:pPr>
      <w:proofErr w:type="spellStart"/>
      <w:r>
        <w:rPr>
          <w:sz w:val="24"/>
          <w:szCs w:val="24"/>
        </w:rPr>
        <w:t>Kosenko</w:t>
      </w:r>
      <w:proofErr w:type="spellEnd"/>
      <w:r>
        <w:rPr>
          <w:sz w:val="24"/>
          <w:szCs w:val="24"/>
        </w:rPr>
        <w:t xml:space="preserve"> E., </w:t>
      </w:r>
      <w:proofErr w:type="spellStart"/>
      <w:r>
        <w:rPr>
          <w:sz w:val="24"/>
          <w:szCs w:val="24"/>
        </w:rPr>
        <w:t>Felipo</w:t>
      </w:r>
      <w:proofErr w:type="spellEnd"/>
      <w:r>
        <w:rPr>
          <w:sz w:val="24"/>
          <w:szCs w:val="24"/>
        </w:rPr>
        <w:t xml:space="preserve"> V., </w:t>
      </w:r>
      <w:proofErr w:type="spellStart"/>
      <w:r>
        <w:rPr>
          <w:sz w:val="24"/>
          <w:szCs w:val="24"/>
        </w:rPr>
        <w:t>Montiliu</w:t>
      </w:r>
      <w:proofErr w:type="spellEnd"/>
      <w:r>
        <w:rPr>
          <w:sz w:val="24"/>
          <w:szCs w:val="24"/>
        </w:rPr>
        <w:t xml:space="preserve"> C, </w:t>
      </w:r>
      <w:proofErr w:type="spellStart"/>
      <w:r>
        <w:rPr>
          <w:sz w:val="24"/>
          <w:szCs w:val="24"/>
        </w:rPr>
        <w:t>Grisolia</w:t>
      </w:r>
      <w:proofErr w:type="spellEnd"/>
      <w:r>
        <w:rPr>
          <w:sz w:val="24"/>
          <w:szCs w:val="24"/>
        </w:rPr>
        <w:t xml:space="preserve"> S., </w:t>
      </w:r>
      <w:proofErr w:type="spellStart"/>
      <w:proofErr w:type="gramStart"/>
      <w:r>
        <w:rPr>
          <w:sz w:val="24"/>
          <w:szCs w:val="24"/>
        </w:rPr>
        <w:t>Kaminsky</w:t>
      </w:r>
      <w:proofErr w:type="spellEnd"/>
      <w:proofErr w:type="gramEnd"/>
      <w:r>
        <w:rPr>
          <w:sz w:val="24"/>
          <w:szCs w:val="24"/>
        </w:rPr>
        <w:t xml:space="preserve"> Y: Effects of acute </w:t>
      </w:r>
      <w:proofErr w:type="spellStart"/>
      <w:r>
        <w:rPr>
          <w:sz w:val="24"/>
          <w:szCs w:val="24"/>
        </w:rPr>
        <w:t>hyperammonemia</w:t>
      </w:r>
      <w:proofErr w:type="spellEnd"/>
      <w:r>
        <w:rPr>
          <w:sz w:val="24"/>
          <w:szCs w:val="24"/>
        </w:rPr>
        <w:t xml:space="preserve"> in vivo on oxidative metabolism in </w:t>
      </w:r>
      <w:proofErr w:type="spellStart"/>
      <w:r>
        <w:rPr>
          <w:sz w:val="24"/>
          <w:szCs w:val="24"/>
        </w:rPr>
        <w:t>non synaptic</w:t>
      </w:r>
      <w:proofErr w:type="spellEnd"/>
      <w:r>
        <w:rPr>
          <w:sz w:val="24"/>
          <w:szCs w:val="24"/>
        </w:rPr>
        <w:t xml:space="preserve"> rat brain mitochondria. </w:t>
      </w:r>
      <w:proofErr w:type="spellStart"/>
      <w:proofErr w:type="gramStart"/>
      <w:r>
        <w:rPr>
          <w:sz w:val="24"/>
          <w:szCs w:val="24"/>
        </w:rPr>
        <w:t>Metab</w:t>
      </w:r>
      <w:proofErr w:type="spellEnd"/>
      <w:r>
        <w:rPr>
          <w:sz w:val="24"/>
          <w:szCs w:val="24"/>
        </w:rPr>
        <w:t>.</w:t>
      </w:r>
      <w:proofErr w:type="gramEnd"/>
      <w:r>
        <w:rPr>
          <w:sz w:val="24"/>
          <w:szCs w:val="24"/>
        </w:rPr>
        <w:t xml:space="preserve"> Brain Dis., 1997, 12, 69-82.</w:t>
      </w:r>
    </w:p>
    <w:p w:rsidR="00204CE5" w:rsidRDefault="00204CE5" w:rsidP="00700FF0">
      <w:pPr>
        <w:jc w:val="both"/>
        <w:rPr>
          <w:sz w:val="24"/>
          <w:szCs w:val="24"/>
        </w:rPr>
      </w:pPr>
      <w:r>
        <w:rPr>
          <w:sz w:val="24"/>
          <w:szCs w:val="24"/>
        </w:rPr>
        <w:t xml:space="preserve">O ‘Connor JE, </w:t>
      </w:r>
      <w:proofErr w:type="spellStart"/>
      <w:r>
        <w:rPr>
          <w:sz w:val="24"/>
          <w:szCs w:val="24"/>
        </w:rPr>
        <w:t>Costell</w:t>
      </w:r>
      <w:proofErr w:type="spellEnd"/>
      <w:r>
        <w:rPr>
          <w:sz w:val="24"/>
          <w:szCs w:val="24"/>
        </w:rPr>
        <w:t xml:space="preserve"> M (1990) New roles </w:t>
      </w:r>
      <w:proofErr w:type="gramStart"/>
      <w:r>
        <w:rPr>
          <w:sz w:val="24"/>
          <w:szCs w:val="24"/>
        </w:rPr>
        <w:t>of  carnitine</w:t>
      </w:r>
      <w:proofErr w:type="gramEnd"/>
      <w:r>
        <w:rPr>
          <w:sz w:val="24"/>
          <w:szCs w:val="24"/>
        </w:rPr>
        <w:t xml:space="preserve"> metabolism in ammonia cytotoxicity In : </w:t>
      </w:r>
      <w:proofErr w:type="spellStart"/>
      <w:r>
        <w:rPr>
          <w:sz w:val="24"/>
          <w:szCs w:val="24"/>
        </w:rPr>
        <w:t>Grisolia</w:t>
      </w:r>
      <w:proofErr w:type="spellEnd"/>
      <w:r>
        <w:rPr>
          <w:sz w:val="24"/>
          <w:szCs w:val="24"/>
        </w:rPr>
        <w:t xml:space="preserve"> S, </w:t>
      </w:r>
      <w:proofErr w:type="spellStart"/>
      <w:r>
        <w:rPr>
          <w:sz w:val="24"/>
          <w:szCs w:val="24"/>
        </w:rPr>
        <w:t>Felipo</w:t>
      </w:r>
      <w:proofErr w:type="spellEnd"/>
      <w:r>
        <w:rPr>
          <w:sz w:val="24"/>
          <w:szCs w:val="24"/>
        </w:rPr>
        <w:t xml:space="preserve"> V, </w:t>
      </w:r>
      <w:proofErr w:type="spellStart"/>
      <w:r>
        <w:rPr>
          <w:sz w:val="24"/>
          <w:szCs w:val="24"/>
        </w:rPr>
        <w:t>Minana</w:t>
      </w:r>
      <w:proofErr w:type="spellEnd"/>
      <w:r>
        <w:rPr>
          <w:sz w:val="24"/>
          <w:szCs w:val="24"/>
        </w:rPr>
        <w:t xml:space="preserve"> MD (</w:t>
      </w:r>
      <w:proofErr w:type="spellStart"/>
      <w:r>
        <w:rPr>
          <w:sz w:val="24"/>
          <w:szCs w:val="24"/>
        </w:rPr>
        <w:t>eds</w:t>
      </w:r>
      <w:proofErr w:type="spellEnd"/>
      <w:r>
        <w:rPr>
          <w:sz w:val="24"/>
          <w:szCs w:val="24"/>
        </w:rPr>
        <w:t xml:space="preserve">) : Cirrhosis, hepatic encephalopathy and ammonia toxicity. </w:t>
      </w:r>
      <w:proofErr w:type="gramStart"/>
      <w:r>
        <w:rPr>
          <w:sz w:val="24"/>
          <w:szCs w:val="24"/>
        </w:rPr>
        <w:t>Plenum  press</w:t>
      </w:r>
      <w:proofErr w:type="gramEnd"/>
      <w:r>
        <w:rPr>
          <w:sz w:val="24"/>
          <w:szCs w:val="24"/>
        </w:rPr>
        <w:t>, New York  pp 183 – 195</w:t>
      </w:r>
    </w:p>
    <w:p w:rsidR="00204CE5" w:rsidRPr="006D2D9D" w:rsidRDefault="00204CE5" w:rsidP="00700FF0">
      <w:pPr>
        <w:jc w:val="both"/>
        <w:rPr>
          <w:sz w:val="24"/>
          <w:szCs w:val="24"/>
        </w:rPr>
      </w:pPr>
      <w:proofErr w:type="spellStart"/>
      <w:r w:rsidRPr="006D2D9D">
        <w:rPr>
          <w:sz w:val="24"/>
          <w:szCs w:val="24"/>
        </w:rPr>
        <w:t>Dakshayani</w:t>
      </w:r>
      <w:proofErr w:type="spellEnd"/>
      <w:r w:rsidRPr="006D2D9D">
        <w:rPr>
          <w:sz w:val="24"/>
          <w:szCs w:val="24"/>
        </w:rPr>
        <w:t xml:space="preserve"> KB, </w:t>
      </w:r>
      <w:proofErr w:type="spellStart"/>
      <w:r w:rsidRPr="006D2D9D">
        <w:rPr>
          <w:sz w:val="24"/>
          <w:szCs w:val="24"/>
        </w:rPr>
        <w:t>Velvizhi</w:t>
      </w:r>
      <w:proofErr w:type="spellEnd"/>
      <w:r w:rsidRPr="006D2D9D">
        <w:rPr>
          <w:sz w:val="24"/>
          <w:szCs w:val="24"/>
        </w:rPr>
        <w:t xml:space="preserve"> S, Subramanian P (2002) Effects of ornithine α-</w:t>
      </w:r>
      <w:proofErr w:type="spellStart"/>
      <w:r w:rsidRPr="006D2D9D">
        <w:rPr>
          <w:sz w:val="24"/>
          <w:szCs w:val="24"/>
        </w:rPr>
        <w:t>ketoglutarate</w:t>
      </w:r>
      <w:proofErr w:type="spellEnd"/>
      <w:r w:rsidRPr="006D2D9D">
        <w:rPr>
          <w:sz w:val="24"/>
          <w:szCs w:val="24"/>
        </w:rPr>
        <w:t xml:space="preserve"> on circulatory antioxidants and lipid peroxidation products in ammonium acetate treated rats. Ann </w:t>
      </w:r>
      <w:proofErr w:type="spellStart"/>
      <w:r w:rsidRPr="006D2D9D">
        <w:rPr>
          <w:sz w:val="24"/>
          <w:szCs w:val="24"/>
        </w:rPr>
        <w:t>Nutr</w:t>
      </w:r>
      <w:proofErr w:type="spellEnd"/>
      <w:r w:rsidRPr="006D2D9D">
        <w:rPr>
          <w:sz w:val="24"/>
          <w:szCs w:val="24"/>
        </w:rPr>
        <w:t xml:space="preserve"> </w:t>
      </w:r>
      <w:proofErr w:type="spellStart"/>
      <w:r w:rsidRPr="006D2D9D">
        <w:rPr>
          <w:sz w:val="24"/>
          <w:szCs w:val="24"/>
        </w:rPr>
        <w:t>Metab</w:t>
      </w:r>
      <w:proofErr w:type="spellEnd"/>
      <w:r w:rsidRPr="006D2D9D">
        <w:rPr>
          <w:sz w:val="24"/>
          <w:szCs w:val="24"/>
        </w:rPr>
        <w:t xml:space="preserve"> 46: 93-96.</w:t>
      </w:r>
    </w:p>
    <w:p w:rsidR="00ED5C27" w:rsidRDefault="00ED5C27" w:rsidP="00700FF0">
      <w:pPr>
        <w:jc w:val="both"/>
        <w:rPr>
          <w:sz w:val="24"/>
          <w:szCs w:val="24"/>
        </w:rPr>
      </w:pPr>
      <w:r>
        <w:t xml:space="preserve">Manchester LC, </w:t>
      </w:r>
      <w:proofErr w:type="spellStart"/>
      <w:r>
        <w:t>Poeggeler</w:t>
      </w:r>
      <w:proofErr w:type="spellEnd"/>
      <w:r>
        <w:t xml:space="preserve"> B, </w:t>
      </w:r>
      <w:proofErr w:type="spellStart"/>
      <w:r>
        <w:t>Alvares</w:t>
      </w:r>
      <w:proofErr w:type="spellEnd"/>
      <w:r>
        <w:t xml:space="preserve"> FL, Ogden GB, Reiter RJ (1995) Melatonin </w:t>
      </w:r>
      <w:proofErr w:type="spellStart"/>
      <w:r>
        <w:t>immunoreactivity</w:t>
      </w:r>
      <w:proofErr w:type="spellEnd"/>
      <w:r>
        <w:t xml:space="preserve"> in the photosynthetic prokaryote, </w:t>
      </w:r>
      <w:proofErr w:type="spellStart"/>
      <w:r>
        <w:t>Rhodospirillum</w:t>
      </w:r>
      <w:proofErr w:type="spellEnd"/>
      <w:r>
        <w:t xml:space="preserve"> </w:t>
      </w:r>
      <w:proofErr w:type="spellStart"/>
      <w:r>
        <w:t>rubrum</w:t>
      </w:r>
      <w:proofErr w:type="spellEnd"/>
      <w:r>
        <w:t xml:space="preserve"> : implications for an ancient antioxidant system. Cell </w:t>
      </w:r>
      <w:proofErr w:type="spellStart"/>
      <w:r>
        <w:t>Mol</w:t>
      </w:r>
      <w:proofErr w:type="spellEnd"/>
      <w:r>
        <w:t xml:space="preserve"> </w:t>
      </w:r>
      <w:proofErr w:type="spellStart"/>
      <w:r>
        <w:t>Biol</w:t>
      </w:r>
      <w:proofErr w:type="spellEnd"/>
      <w:r>
        <w:t xml:space="preserve"> Res </w:t>
      </w:r>
      <w:proofErr w:type="gramStart"/>
      <w:r>
        <w:t>41 :</w:t>
      </w:r>
      <w:proofErr w:type="gramEnd"/>
      <w:r>
        <w:t xml:space="preserve">391 – 395.  </w:t>
      </w:r>
    </w:p>
    <w:p w:rsidR="00ED5C27" w:rsidRDefault="00ED5C27" w:rsidP="00700FF0">
      <w:pPr>
        <w:jc w:val="both"/>
        <w:rPr>
          <w:sz w:val="24"/>
          <w:szCs w:val="24"/>
        </w:rPr>
      </w:pPr>
      <w:r>
        <w:rPr>
          <w:sz w:val="24"/>
          <w:szCs w:val="24"/>
        </w:rPr>
        <w:t xml:space="preserve">Tan DX, Chen LD, </w:t>
      </w:r>
      <w:proofErr w:type="spellStart"/>
      <w:r>
        <w:rPr>
          <w:sz w:val="24"/>
          <w:szCs w:val="24"/>
        </w:rPr>
        <w:t>Poeggler</w:t>
      </w:r>
      <w:proofErr w:type="spellEnd"/>
      <w:r>
        <w:rPr>
          <w:sz w:val="24"/>
          <w:szCs w:val="24"/>
        </w:rPr>
        <w:t xml:space="preserve"> B, Manchester LC, Reiter RJ (1993</w:t>
      </w:r>
      <w:proofErr w:type="gramStart"/>
      <w:r>
        <w:rPr>
          <w:sz w:val="24"/>
          <w:szCs w:val="24"/>
        </w:rPr>
        <w:t>)  Melatonin</w:t>
      </w:r>
      <w:proofErr w:type="gramEnd"/>
      <w:r>
        <w:rPr>
          <w:sz w:val="24"/>
          <w:szCs w:val="24"/>
        </w:rPr>
        <w:t xml:space="preserve"> : a potent endogenous  hydroxyl radical scavenger </w:t>
      </w:r>
      <w:proofErr w:type="spellStart"/>
      <w:r>
        <w:rPr>
          <w:sz w:val="24"/>
          <w:szCs w:val="24"/>
        </w:rPr>
        <w:t>Endocr</w:t>
      </w:r>
      <w:proofErr w:type="spellEnd"/>
      <w:r>
        <w:rPr>
          <w:sz w:val="24"/>
          <w:szCs w:val="24"/>
        </w:rPr>
        <w:t xml:space="preserve"> J. 1:57-60.</w:t>
      </w:r>
    </w:p>
    <w:p w:rsidR="00ED5C27" w:rsidRPr="006D2D9D" w:rsidRDefault="00ED5C27" w:rsidP="00700FF0">
      <w:pPr>
        <w:jc w:val="both"/>
        <w:rPr>
          <w:sz w:val="24"/>
          <w:szCs w:val="24"/>
        </w:rPr>
      </w:pPr>
      <w:r w:rsidRPr="006D2D9D">
        <w:rPr>
          <w:sz w:val="24"/>
          <w:szCs w:val="24"/>
        </w:rPr>
        <w:t xml:space="preserve">Reiter RJ, Tan DX, Cabrera J,D’ </w:t>
      </w:r>
      <w:proofErr w:type="spellStart"/>
      <w:r w:rsidRPr="006D2D9D">
        <w:rPr>
          <w:sz w:val="24"/>
          <w:szCs w:val="24"/>
        </w:rPr>
        <w:t>Arpa</w:t>
      </w:r>
      <w:proofErr w:type="spellEnd"/>
      <w:r w:rsidRPr="006D2D9D">
        <w:rPr>
          <w:sz w:val="24"/>
          <w:szCs w:val="24"/>
        </w:rPr>
        <w:t xml:space="preserve"> D, </w:t>
      </w:r>
      <w:proofErr w:type="spellStart"/>
      <w:r w:rsidRPr="006D2D9D">
        <w:rPr>
          <w:sz w:val="24"/>
          <w:szCs w:val="24"/>
        </w:rPr>
        <w:t>Sainz</w:t>
      </w:r>
      <w:proofErr w:type="spellEnd"/>
      <w:r w:rsidRPr="006D2D9D">
        <w:rPr>
          <w:sz w:val="24"/>
          <w:szCs w:val="24"/>
        </w:rPr>
        <w:t xml:space="preserve"> Rm, Mayo </w:t>
      </w:r>
      <w:proofErr w:type="spellStart"/>
      <w:r w:rsidRPr="006D2D9D">
        <w:rPr>
          <w:sz w:val="24"/>
          <w:szCs w:val="24"/>
        </w:rPr>
        <w:t>JC,Ramos</w:t>
      </w:r>
      <w:proofErr w:type="spellEnd"/>
      <w:r w:rsidRPr="006D2D9D">
        <w:rPr>
          <w:sz w:val="24"/>
          <w:szCs w:val="24"/>
        </w:rPr>
        <w:t xml:space="preserve"> S (1999) The oxidant/antioxidant network role of </w:t>
      </w:r>
      <w:proofErr w:type="spellStart"/>
      <w:r w:rsidRPr="006D2D9D">
        <w:rPr>
          <w:sz w:val="24"/>
          <w:szCs w:val="24"/>
        </w:rPr>
        <w:t>melationin</w:t>
      </w:r>
      <w:proofErr w:type="spellEnd"/>
      <w:r w:rsidRPr="006D2D9D">
        <w:rPr>
          <w:sz w:val="24"/>
          <w:szCs w:val="24"/>
        </w:rPr>
        <w:t xml:space="preserve">. </w:t>
      </w:r>
      <w:proofErr w:type="spellStart"/>
      <w:r w:rsidRPr="006D2D9D">
        <w:rPr>
          <w:sz w:val="24"/>
          <w:szCs w:val="24"/>
        </w:rPr>
        <w:t>Biol</w:t>
      </w:r>
      <w:proofErr w:type="spellEnd"/>
      <w:r w:rsidRPr="006D2D9D">
        <w:rPr>
          <w:sz w:val="24"/>
          <w:szCs w:val="24"/>
        </w:rPr>
        <w:t xml:space="preserve"> Signals </w:t>
      </w:r>
      <w:proofErr w:type="spellStart"/>
      <w:r w:rsidRPr="006D2D9D">
        <w:rPr>
          <w:sz w:val="24"/>
          <w:szCs w:val="24"/>
        </w:rPr>
        <w:t>recept</w:t>
      </w:r>
      <w:proofErr w:type="spellEnd"/>
      <w:r w:rsidRPr="006D2D9D">
        <w:rPr>
          <w:sz w:val="24"/>
          <w:szCs w:val="24"/>
        </w:rPr>
        <w:t xml:space="preserve"> 8:56-63.</w:t>
      </w:r>
    </w:p>
    <w:p w:rsidR="00ED5C27" w:rsidRDefault="00ED5C27" w:rsidP="00700FF0">
      <w:pPr>
        <w:jc w:val="both"/>
        <w:rPr>
          <w:sz w:val="24"/>
          <w:szCs w:val="24"/>
        </w:rPr>
      </w:pPr>
      <w:r>
        <w:rPr>
          <w:sz w:val="24"/>
          <w:szCs w:val="24"/>
        </w:rPr>
        <w:lastRenderedPageBreak/>
        <w:t xml:space="preserve">National Institute of Health Guide for the Care and Use </w:t>
      </w:r>
      <w:proofErr w:type="gramStart"/>
      <w:r>
        <w:rPr>
          <w:sz w:val="24"/>
          <w:szCs w:val="24"/>
        </w:rPr>
        <w:t>of  Laboratory</w:t>
      </w:r>
      <w:proofErr w:type="gramEnd"/>
      <w:r>
        <w:rPr>
          <w:sz w:val="24"/>
          <w:szCs w:val="24"/>
        </w:rPr>
        <w:t xml:space="preserve"> Animals DHEW publication (NIH), revised (1985) Office of Science and Health Reports, DRR/NIH Bethesda, USA.</w:t>
      </w:r>
    </w:p>
    <w:p w:rsidR="00ED5C27" w:rsidRDefault="00ED5C27" w:rsidP="00700FF0">
      <w:pPr>
        <w:jc w:val="both"/>
        <w:rPr>
          <w:sz w:val="24"/>
          <w:szCs w:val="24"/>
        </w:rPr>
      </w:pPr>
      <w:proofErr w:type="spellStart"/>
      <w:r>
        <w:rPr>
          <w:sz w:val="24"/>
          <w:szCs w:val="24"/>
        </w:rPr>
        <w:t>Hilgier</w:t>
      </w:r>
      <w:proofErr w:type="spellEnd"/>
      <w:r>
        <w:rPr>
          <w:sz w:val="24"/>
          <w:szCs w:val="24"/>
        </w:rPr>
        <w:t xml:space="preserve"> W.</w:t>
      </w:r>
      <w:proofErr w:type="gramStart"/>
      <w:r>
        <w:rPr>
          <w:sz w:val="24"/>
          <w:szCs w:val="24"/>
        </w:rPr>
        <w:t>,  Albrecht</w:t>
      </w:r>
      <w:proofErr w:type="gramEnd"/>
      <w:r>
        <w:rPr>
          <w:sz w:val="24"/>
          <w:szCs w:val="24"/>
        </w:rPr>
        <w:t xml:space="preserve"> J., </w:t>
      </w:r>
      <w:proofErr w:type="spellStart"/>
      <w:r>
        <w:rPr>
          <w:sz w:val="24"/>
          <w:szCs w:val="24"/>
        </w:rPr>
        <w:t>Lisy</w:t>
      </w:r>
      <w:proofErr w:type="spellEnd"/>
      <w:r>
        <w:rPr>
          <w:sz w:val="24"/>
          <w:szCs w:val="24"/>
        </w:rPr>
        <w:t xml:space="preserve"> V., </w:t>
      </w:r>
      <w:proofErr w:type="spellStart"/>
      <w:r>
        <w:rPr>
          <w:sz w:val="24"/>
          <w:szCs w:val="24"/>
        </w:rPr>
        <w:t>Stastny</w:t>
      </w:r>
      <w:proofErr w:type="spellEnd"/>
      <w:r>
        <w:rPr>
          <w:sz w:val="24"/>
          <w:szCs w:val="24"/>
        </w:rPr>
        <w:t xml:space="preserve"> F (1990) The effect of acute and repeated </w:t>
      </w:r>
      <w:proofErr w:type="spellStart"/>
      <w:r>
        <w:rPr>
          <w:sz w:val="24"/>
          <w:szCs w:val="24"/>
        </w:rPr>
        <w:t>hyperammonemia</w:t>
      </w:r>
      <w:proofErr w:type="spellEnd"/>
      <w:r>
        <w:rPr>
          <w:sz w:val="24"/>
          <w:szCs w:val="24"/>
        </w:rPr>
        <w:t xml:space="preserve"> on gamma – </w:t>
      </w:r>
      <w:proofErr w:type="spellStart"/>
      <w:r>
        <w:rPr>
          <w:sz w:val="24"/>
          <w:szCs w:val="24"/>
        </w:rPr>
        <w:t>glutamyl</w:t>
      </w:r>
      <w:proofErr w:type="spellEnd"/>
      <w:r>
        <w:rPr>
          <w:sz w:val="24"/>
          <w:szCs w:val="24"/>
        </w:rPr>
        <w:t xml:space="preserve"> </w:t>
      </w:r>
      <w:proofErr w:type="spellStart"/>
      <w:r>
        <w:rPr>
          <w:sz w:val="24"/>
          <w:szCs w:val="24"/>
        </w:rPr>
        <w:t>transpeptidase</w:t>
      </w:r>
      <w:proofErr w:type="spellEnd"/>
      <w:r>
        <w:rPr>
          <w:sz w:val="24"/>
          <w:szCs w:val="24"/>
        </w:rPr>
        <w:t xml:space="preserve"> in  homogenates and capillaries of various rat brain regions. </w:t>
      </w:r>
      <w:proofErr w:type="spellStart"/>
      <w:r>
        <w:rPr>
          <w:sz w:val="24"/>
          <w:szCs w:val="24"/>
        </w:rPr>
        <w:t>Mol</w:t>
      </w:r>
      <w:proofErr w:type="spellEnd"/>
      <w:r>
        <w:rPr>
          <w:sz w:val="24"/>
          <w:szCs w:val="24"/>
        </w:rPr>
        <w:t xml:space="preserve"> </w:t>
      </w:r>
      <w:proofErr w:type="spellStart"/>
      <w:r>
        <w:rPr>
          <w:sz w:val="24"/>
          <w:szCs w:val="24"/>
        </w:rPr>
        <w:t>Chem</w:t>
      </w:r>
      <w:proofErr w:type="spellEnd"/>
      <w:r>
        <w:rPr>
          <w:sz w:val="24"/>
          <w:szCs w:val="24"/>
        </w:rPr>
        <w:t xml:space="preserve"> </w:t>
      </w:r>
      <w:proofErr w:type="spellStart"/>
      <w:r>
        <w:rPr>
          <w:sz w:val="24"/>
          <w:szCs w:val="24"/>
        </w:rPr>
        <w:t>Neuropathol</w:t>
      </w:r>
      <w:proofErr w:type="spellEnd"/>
      <w:r>
        <w:rPr>
          <w:sz w:val="24"/>
          <w:szCs w:val="24"/>
        </w:rPr>
        <w:t xml:space="preserve"> 13: 47 – 56.</w:t>
      </w:r>
    </w:p>
    <w:p w:rsidR="00ED5C27" w:rsidRDefault="00ED5C27" w:rsidP="00700FF0">
      <w:pPr>
        <w:jc w:val="both"/>
        <w:rPr>
          <w:sz w:val="24"/>
          <w:szCs w:val="24"/>
        </w:rPr>
      </w:pPr>
      <w:r>
        <w:rPr>
          <w:sz w:val="24"/>
          <w:szCs w:val="24"/>
        </w:rPr>
        <w:t xml:space="preserve">Liu F, Ng TB (2000) Effect of pineal indoles on the activities of the antioxidant </w:t>
      </w:r>
      <w:proofErr w:type="spellStart"/>
      <w:r>
        <w:rPr>
          <w:sz w:val="24"/>
          <w:szCs w:val="24"/>
        </w:rPr>
        <w:t>defence</w:t>
      </w:r>
      <w:proofErr w:type="spellEnd"/>
      <w:r>
        <w:rPr>
          <w:sz w:val="24"/>
          <w:szCs w:val="24"/>
        </w:rPr>
        <w:t xml:space="preserve"> enzymes superoxide dismutase, catalase and glutathione reductase and levels of reduced and oxidized glutathione in rat tissues. </w:t>
      </w:r>
      <w:proofErr w:type="spellStart"/>
      <w:r>
        <w:rPr>
          <w:sz w:val="24"/>
          <w:szCs w:val="24"/>
        </w:rPr>
        <w:t>Biochem</w:t>
      </w:r>
      <w:proofErr w:type="spellEnd"/>
      <w:r>
        <w:rPr>
          <w:sz w:val="24"/>
          <w:szCs w:val="24"/>
        </w:rPr>
        <w:t xml:space="preserve"> Cell </w:t>
      </w:r>
      <w:proofErr w:type="spellStart"/>
      <w:r>
        <w:rPr>
          <w:sz w:val="24"/>
          <w:szCs w:val="24"/>
        </w:rPr>
        <w:t>Biol</w:t>
      </w:r>
      <w:proofErr w:type="spellEnd"/>
      <w:r>
        <w:rPr>
          <w:sz w:val="24"/>
          <w:szCs w:val="24"/>
        </w:rPr>
        <w:t xml:space="preserve"> </w:t>
      </w:r>
      <w:proofErr w:type="gramStart"/>
      <w:r>
        <w:rPr>
          <w:sz w:val="24"/>
          <w:szCs w:val="24"/>
        </w:rPr>
        <w:t>78 :</w:t>
      </w:r>
      <w:proofErr w:type="gramEnd"/>
      <w:r>
        <w:rPr>
          <w:sz w:val="24"/>
          <w:szCs w:val="24"/>
        </w:rPr>
        <w:t xml:space="preserve"> 447 – 453.</w:t>
      </w:r>
    </w:p>
    <w:p w:rsidR="00A3060C" w:rsidRDefault="00A3060C" w:rsidP="00700FF0">
      <w:pPr>
        <w:jc w:val="both"/>
        <w:rPr>
          <w:sz w:val="24"/>
          <w:szCs w:val="24"/>
        </w:rPr>
      </w:pPr>
      <w:proofErr w:type="spellStart"/>
      <w:r>
        <w:rPr>
          <w:sz w:val="24"/>
          <w:szCs w:val="24"/>
        </w:rPr>
        <w:t>Nichans</w:t>
      </w:r>
      <w:proofErr w:type="spellEnd"/>
      <w:r>
        <w:rPr>
          <w:sz w:val="24"/>
          <w:szCs w:val="24"/>
        </w:rPr>
        <w:t xml:space="preserve"> WG, Samuelson B (1968) Formation of </w:t>
      </w:r>
      <w:proofErr w:type="spellStart"/>
      <w:r>
        <w:rPr>
          <w:sz w:val="24"/>
          <w:szCs w:val="24"/>
        </w:rPr>
        <w:t>malondialdehyde</w:t>
      </w:r>
      <w:proofErr w:type="spellEnd"/>
      <w:r>
        <w:rPr>
          <w:sz w:val="24"/>
          <w:szCs w:val="24"/>
        </w:rPr>
        <w:t xml:space="preserve"> from phospholipid </w:t>
      </w:r>
      <w:proofErr w:type="spellStart"/>
      <w:r>
        <w:rPr>
          <w:sz w:val="24"/>
          <w:szCs w:val="24"/>
        </w:rPr>
        <w:t>arachidonate</w:t>
      </w:r>
      <w:proofErr w:type="spellEnd"/>
      <w:r>
        <w:rPr>
          <w:sz w:val="24"/>
          <w:szCs w:val="24"/>
        </w:rPr>
        <w:t xml:space="preserve"> during microsomal lipid </w:t>
      </w:r>
      <w:proofErr w:type="gramStart"/>
      <w:r>
        <w:rPr>
          <w:sz w:val="24"/>
          <w:szCs w:val="24"/>
        </w:rPr>
        <w:t xml:space="preserve">peroxidation  </w:t>
      </w:r>
      <w:proofErr w:type="spellStart"/>
      <w:r>
        <w:rPr>
          <w:sz w:val="24"/>
          <w:szCs w:val="24"/>
        </w:rPr>
        <w:t>Eur</w:t>
      </w:r>
      <w:proofErr w:type="spellEnd"/>
      <w:proofErr w:type="gramEnd"/>
      <w:r>
        <w:rPr>
          <w:sz w:val="24"/>
          <w:szCs w:val="24"/>
        </w:rPr>
        <w:t xml:space="preserve"> J </w:t>
      </w:r>
      <w:proofErr w:type="spellStart"/>
      <w:r>
        <w:rPr>
          <w:sz w:val="24"/>
          <w:szCs w:val="24"/>
        </w:rPr>
        <w:t>Biochem</w:t>
      </w:r>
      <w:proofErr w:type="spellEnd"/>
      <w:r>
        <w:rPr>
          <w:sz w:val="24"/>
          <w:szCs w:val="24"/>
        </w:rPr>
        <w:t xml:space="preserve"> 6 :126 -130.</w:t>
      </w:r>
    </w:p>
    <w:p w:rsidR="00A3060C" w:rsidRDefault="00A3060C" w:rsidP="00700FF0">
      <w:pPr>
        <w:jc w:val="both"/>
        <w:rPr>
          <w:sz w:val="24"/>
          <w:szCs w:val="24"/>
        </w:rPr>
      </w:pPr>
      <w:proofErr w:type="spellStart"/>
      <w:r>
        <w:rPr>
          <w:sz w:val="24"/>
          <w:szCs w:val="24"/>
        </w:rPr>
        <w:t>Ellman</w:t>
      </w:r>
      <w:proofErr w:type="spellEnd"/>
      <w:r>
        <w:rPr>
          <w:sz w:val="24"/>
          <w:szCs w:val="24"/>
        </w:rPr>
        <w:t xml:space="preserve"> GL. (1959</w:t>
      </w:r>
      <w:proofErr w:type="gramStart"/>
      <w:r>
        <w:rPr>
          <w:sz w:val="24"/>
          <w:szCs w:val="24"/>
        </w:rPr>
        <w:t>)  Tissue</w:t>
      </w:r>
      <w:proofErr w:type="gramEnd"/>
      <w:r>
        <w:rPr>
          <w:sz w:val="24"/>
          <w:szCs w:val="24"/>
        </w:rPr>
        <w:t xml:space="preserve"> </w:t>
      </w:r>
      <w:proofErr w:type="spellStart"/>
      <w:r>
        <w:rPr>
          <w:sz w:val="24"/>
          <w:szCs w:val="24"/>
        </w:rPr>
        <w:t>sulphydryl</w:t>
      </w:r>
      <w:proofErr w:type="spellEnd"/>
      <w:r>
        <w:rPr>
          <w:sz w:val="24"/>
          <w:szCs w:val="24"/>
        </w:rPr>
        <w:t xml:space="preserve">  groups. Arch </w:t>
      </w:r>
      <w:proofErr w:type="spellStart"/>
      <w:r>
        <w:rPr>
          <w:sz w:val="24"/>
          <w:szCs w:val="24"/>
        </w:rPr>
        <w:t>Biochem</w:t>
      </w:r>
      <w:proofErr w:type="spellEnd"/>
      <w:r>
        <w:rPr>
          <w:sz w:val="24"/>
          <w:szCs w:val="24"/>
        </w:rPr>
        <w:t xml:space="preserve"> </w:t>
      </w:r>
      <w:proofErr w:type="spellStart"/>
      <w:proofErr w:type="gramStart"/>
      <w:r>
        <w:rPr>
          <w:sz w:val="24"/>
          <w:szCs w:val="24"/>
        </w:rPr>
        <w:t>Biophys</w:t>
      </w:r>
      <w:proofErr w:type="spellEnd"/>
      <w:r>
        <w:rPr>
          <w:sz w:val="24"/>
          <w:szCs w:val="24"/>
        </w:rPr>
        <w:t xml:space="preserve">  82</w:t>
      </w:r>
      <w:proofErr w:type="gramEnd"/>
      <w:r>
        <w:rPr>
          <w:sz w:val="24"/>
          <w:szCs w:val="24"/>
        </w:rPr>
        <w:t>: 70 – 79</w:t>
      </w:r>
    </w:p>
    <w:p w:rsidR="00A3060C" w:rsidRDefault="00A3060C" w:rsidP="00700FF0">
      <w:pPr>
        <w:jc w:val="both"/>
        <w:rPr>
          <w:sz w:val="24"/>
          <w:szCs w:val="24"/>
        </w:rPr>
      </w:pPr>
      <w:proofErr w:type="spellStart"/>
      <w:r>
        <w:rPr>
          <w:sz w:val="24"/>
          <w:szCs w:val="24"/>
        </w:rPr>
        <w:t>Kakkar</w:t>
      </w:r>
      <w:proofErr w:type="spellEnd"/>
      <w:r>
        <w:rPr>
          <w:sz w:val="24"/>
          <w:szCs w:val="24"/>
        </w:rPr>
        <w:t xml:space="preserve"> P., Das B., </w:t>
      </w:r>
      <w:proofErr w:type="spellStart"/>
      <w:r>
        <w:rPr>
          <w:sz w:val="24"/>
          <w:szCs w:val="24"/>
        </w:rPr>
        <w:t>Viswanathan</w:t>
      </w:r>
      <w:proofErr w:type="spellEnd"/>
      <w:r>
        <w:rPr>
          <w:sz w:val="24"/>
          <w:szCs w:val="24"/>
        </w:rPr>
        <w:t xml:space="preserve"> </w:t>
      </w:r>
      <w:proofErr w:type="gramStart"/>
      <w:r>
        <w:rPr>
          <w:sz w:val="24"/>
          <w:szCs w:val="24"/>
        </w:rPr>
        <w:t>DN :</w:t>
      </w:r>
      <w:proofErr w:type="gramEnd"/>
      <w:r>
        <w:rPr>
          <w:sz w:val="24"/>
          <w:szCs w:val="24"/>
        </w:rPr>
        <w:t xml:space="preserve"> A modified spectrophotometric assay of superoxide dismutase . </w:t>
      </w:r>
      <w:proofErr w:type="gramStart"/>
      <w:r>
        <w:rPr>
          <w:sz w:val="24"/>
          <w:szCs w:val="24"/>
        </w:rPr>
        <w:t xml:space="preserve">Indian J </w:t>
      </w:r>
      <w:proofErr w:type="spellStart"/>
      <w:r>
        <w:rPr>
          <w:sz w:val="24"/>
          <w:szCs w:val="24"/>
        </w:rPr>
        <w:t>Biochem</w:t>
      </w:r>
      <w:proofErr w:type="spellEnd"/>
      <w:r>
        <w:rPr>
          <w:sz w:val="24"/>
          <w:szCs w:val="24"/>
        </w:rPr>
        <w:t>.</w:t>
      </w:r>
      <w:proofErr w:type="gramEnd"/>
      <w:r>
        <w:rPr>
          <w:sz w:val="24"/>
          <w:szCs w:val="24"/>
        </w:rPr>
        <w:t xml:space="preserve"> </w:t>
      </w:r>
      <w:proofErr w:type="spellStart"/>
      <w:proofErr w:type="gramStart"/>
      <w:r>
        <w:rPr>
          <w:sz w:val="24"/>
          <w:szCs w:val="24"/>
        </w:rPr>
        <w:t>Biophys</w:t>
      </w:r>
      <w:proofErr w:type="spellEnd"/>
      <w:r>
        <w:rPr>
          <w:sz w:val="24"/>
          <w:szCs w:val="24"/>
        </w:rPr>
        <w:t>.,</w:t>
      </w:r>
      <w:proofErr w:type="gramEnd"/>
      <w:r>
        <w:rPr>
          <w:sz w:val="24"/>
          <w:szCs w:val="24"/>
        </w:rPr>
        <w:t xml:space="preserve"> 1984, 21 : 130 – 132.</w:t>
      </w:r>
      <w:r>
        <w:rPr>
          <w:sz w:val="24"/>
          <w:szCs w:val="24"/>
        </w:rPr>
        <w:tab/>
      </w:r>
    </w:p>
    <w:p w:rsidR="00A3060C" w:rsidRDefault="00A3060C" w:rsidP="00700FF0">
      <w:pPr>
        <w:jc w:val="both"/>
        <w:rPr>
          <w:sz w:val="24"/>
          <w:szCs w:val="24"/>
        </w:rPr>
      </w:pPr>
      <w:proofErr w:type="gramStart"/>
      <w:r>
        <w:rPr>
          <w:sz w:val="24"/>
          <w:szCs w:val="24"/>
        </w:rPr>
        <w:t>Sinha ,</w:t>
      </w:r>
      <w:proofErr w:type="spellStart"/>
      <w:r>
        <w:rPr>
          <w:sz w:val="24"/>
          <w:szCs w:val="24"/>
        </w:rPr>
        <w:t>Ka</w:t>
      </w:r>
      <w:proofErr w:type="spellEnd"/>
      <w:proofErr w:type="gramEnd"/>
      <w:r>
        <w:rPr>
          <w:sz w:val="24"/>
          <w:szCs w:val="24"/>
        </w:rPr>
        <w:t xml:space="preserve">,: Colorimetric assay of catalase. </w:t>
      </w:r>
      <w:proofErr w:type="spellStart"/>
      <w:proofErr w:type="gramStart"/>
      <w:r>
        <w:rPr>
          <w:sz w:val="24"/>
          <w:szCs w:val="24"/>
        </w:rPr>
        <w:t>Anal.Biol.Chem</w:t>
      </w:r>
      <w:proofErr w:type="spellEnd"/>
      <w:r>
        <w:rPr>
          <w:sz w:val="24"/>
          <w:szCs w:val="24"/>
        </w:rPr>
        <w:t>.,</w:t>
      </w:r>
      <w:proofErr w:type="gramEnd"/>
      <w:r>
        <w:rPr>
          <w:sz w:val="24"/>
          <w:szCs w:val="24"/>
        </w:rPr>
        <w:t xml:space="preserve"> 1972 47, 389 – 394.</w:t>
      </w:r>
    </w:p>
    <w:p w:rsidR="00A3060C" w:rsidRDefault="00A3060C" w:rsidP="00700FF0">
      <w:pPr>
        <w:jc w:val="both"/>
        <w:rPr>
          <w:sz w:val="24"/>
          <w:szCs w:val="24"/>
        </w:rPr>
      </w:pPr>
      <w:proofErr w:type="spellStart"/>
      <w:r>
        <w:rPr>
          <w:sz w:val="24"/>
          <w:szCs w:val="24"/>
        </w:rPr>
        <w:t>Rotruck</w:t>
      </w:r>
      <w:proofErr w:type="spellEnd"/>
      <w:r>
        <w:rPr>
          <w:sz w:val="24"/>
          <w:szCs w:val="24"/>
        </w:rPr>
        <w:t xml:space="preserve"> JT, </w:t>
      </w:r>
      <w:proofErr w:type="gramStart"/>
      <w:r>
        <w:rPr>
          <w:sz w:val="24"/>
          <w:szCs w:val="24"/>
        </w:rPr>
        <w:t>Pope  AL</w:t>
      </w:r>
      <w:proofErr w:type="gramEnd"/>
      <w:r>
        <w:rPr>
          <w:sz w:val="24"/>
          <w:szCs w:val="24"/>
        </w:rPr>
        <w:t xml:space="preserve">, </w:t>
      </w:r>
      <w:proofErr w:type="spellStart"/>
      <w:r>
        <w:rPr>
          <w:sz w:val="24"/>
          <w:szCs w:val="24"/>
        </w:rPr>
        <w:t>Gauther</w:t>
      </w:r>
      <w:proofErr w:type="spellEnd"/>
      <w:r>
        <w:rPr>
          <w:sz w:val="24"/>
          <w:szCs w:val="24"/>
        </w:rPr>
        <w:t xml:space="preserve">  HE, Swanson AB, </w:t>
      </w:r>
      <w:proofErr w:type="spellStart"/>
      <w:r>
        <w:rPr>
          <w:sz w:val="24"/>
          <w:szCs w:val="24"/>
        </w:rPr>
        <w:t>Hafeman</w:t>
      </w:r>
      <w:proofErr w:type="spellEnd"/>
      <w:r>
        <w:rPr>
          <w:sz w:val="24"/>
          <w:szCs w:val="24"/>
        </w:rPr>
        <w:t xml:space="preserve"> DG and </w:t>
      </w:r>
      <w:proofErr w:type="spellStart"/>
      <w:r>
        <w:rPr>
          <w:sz w:val="24"/>
          <w:szCs w:val="24"/>
        </w:rPr>
        <w:t>Hoekstna</w:t>
      </w:r>
      <w:proofErr w:type="spellEnd"/>
      <w:r>
        <w:rPr>
          <w:sz w:val="24"/>
          <w:szCs w:val="24"/>
        </w:rPr>
        <w:t xml:space="preserve"> WG, (1973). </w:t>
      </w:r>
      <w:proofErr w:type="gramStart"/>
      <w:r>
        <w:rPr>
          <w:sz w:val="24"/>
          <w:szCs w:val="24"/>
        </w:rPr>
        <w:t>Selenium :</w:t>
      </w:r>
      <w:proofErr w:type="gramEnd"/>
      <w:r>
        <w:rPr>
          <w:sz w:val="24"/>
          <w:szCs w:val="24"/>
        </w:rPr>
        <w:t xml:space="preserve"> Biochemical roles as component of glutathione peroxidase. Science </w:t>
      </w:r>
      <w:proofErr w:type="gramStart"/>
      <w:r>
        <w:rPr>
          <w:sz w:val="24"/>
          <w:szCs w:val="24"/>
        </w:rPr>
        <w:t>179 :</w:t>
      </w:r>
      <w:proofErr w:type="gramEnd"/>
      <w:r>
        <w:rPr>
          <w:sz w:val="24"/>
          <w:szCs w:val="24"/>
        </w:rPr>
        <w:t>588 – 590.</w:t>
      </w:r>
    </w:p>
    <w:p w:rsidR="00A3060C" w:rsidRDefault="00A3060C" w:rsidP="00700FF0">
      <w:pPr>
        <w:jc w:val="both"/>
        <w:rPr>
          <w:sz w:val="24"/>
          <w:szCs w:val="24"/>
        </w:rPr>
      </w:pPr>
      <w:proofErr w:type="spellStart"/>
      <w:r>
        <w:rPr>
          <w:sz w:val="24"/>
          <w:szCs w:val="24"/>
        </w:rPr>
        <w:t>Falhol</w:t>
      </w:r>
      <w:r w:rsidRPr="006D2D9D">
        <w:rPr>
          <w:sz w:val="24"/>
          <w:szCs w:val="24"/>
        </w:rPr>
        <w:t>t</w:t>
      </w:r>
      <w:proofErr w:type="spellEnd"/>
      <w:r w:rsidRPr="006D2D9D">
        <w:rPr>
          <w:sz w:val="24"/>
          <w:szCs w:val="24"/>
        </w:rPr>
        <w:t xml:space="preserve"> K, </w:t>
      </w:r>
      <w:proofErr w:type="spellStart"/>
      <w:r w:rsidRPr="006D2D9D">
        <w:rPr>
          <w:sz w:val="24"/>
          <w:szCs w:val="24"/>
        </w:rPr>
        <w:t>Falholt</w:t>
      </w:r>
      <w:proofErr w:type="spellEnd"/>
      <w:r w:rsidRPr="006D2D9D">
        <w:rPr>
          <w:sz w:val="24"/>
          <w:szCs w:val="24"/>
        </w:rPr>
        <w:t xml:space="preserve"> W, </w:t>
      </w:r>
      <w:proofErr w:type="gramStart"/>
      <w:r w:rsidRPr="006D2D9D">
        <w:rPr>
          <w:sz w:val="24"/>
          <w:szCs w:val="24"/>
        </w:rPr>
        <w:t>Lund  B</w:t>
      </w:r>
      <w:proofErr w:type="gramEnd"/>
      <w:r w:rsidRPr="006D2D9D">
        <w:rPr>
          <w:sz w:val="24"/>
          <w:szCs w:val="24"/>
        </w:rPr>
        <w:t xml:space="preserve"> (1973) An  easy colorimetric method for routine determination of free fatty acids in plasma. </w:t>
      </w:r>
      <w:proofErr w:type="spellStart"/>
      <w:r w:rsidRPr="006D2D9D">
        <w:rPr>
          <w:sz w:val="24"/>
          <w:szCs w:val="24"/>
        </w:rPr>
        <w:t>Clin</w:t>
      </w:r>
      <w:proofErr w:type="spellEnd"/>
      <w:r w:rsidRPr="006D2D9D">
        <w:rPr>
          <w:sz w:val="24"/>
          <w:szCs w:val="24"/>
        </w:rPr>
        <w:t xml:space="preserve"> </w:t>
      </w:r>
      <w:proofErr w:type="spellStart"/>
      <w:r w:rsidRPr="006D2D9D">
        <w:rPr>
          <w:sz w:val="24"/>
          <w:szCs w:val="24"/>
        </w:rPr>
        <w:t>Chim</w:t>
      </w:r>
      <w:proofErr w:type="spellEnd"/>
      <w:r w:rsidRPr="006D2D9D">
        <w:rPr>
          <w:sz w:val="24"/>
          <w:szCs w:val="24"/>
        </w:rPr>
        <w:t xml:space="preserve"> </w:t>
      </w:r>
      <w:proofErr w:type="spellStart"/>
      <w:r w:rsidRPr="006D2D9D">
        <w:rPr>
          <w:sz w:val="24"/>
          <w:szCs w:val="24"/>
        </w:rPr>
        <w:t>Acta</w:t>
      </w:r>
      <w:proofErr w:type="spellEnd"/>
      <w:r w:rsidRPr="006D2D9D">
        <w:rPr>
          <w:sz w:val="24"/>
          <w:szCs w:val="24"/>
        </w:rPr>
        <w:t xml:space="preserve"> 19:338.</w:t>
      </w:r>
    </w:p>
    <w:p w:rsidR="00A3060C" w:rsidRDefault="00A3060C" w:rsidP="00700FF0">
      <w:pPr>
        <w:jc w:val="both"/>
        <w:rPr>
          <w:sz w:val="24"/>
          <w:szCs w:val="24"/>
        </w:rPr>
      </w:pPr>
    </w:p>
    <w:p w:rsidR="00A3060C" w:rsidRDefault="00A3060C" w:rsidP="00700FF0">
      <w:pPr>
        <w:jc w:val="both"/>
        <w:rPr>
          <w:sz w:val="24"/>
          <w:szCs w:val="24"/>
        </w:rPr>
      </w:pPr>
      <w:proofErr w:type="spellStart"/>
      <w:r>
        <w:rPr>
          <w:sz w:val="24"/>
          <w:szCs w:val="24"/>
        </w:rPr>
        <w:t>Zilversmit</w:t>
      </w:r>
      <w:proofErr w:type="spellEnd"/>
      <w:r>
        <w:rPr>
          <w:sz w:val="24"/>
          <w:szCs w:val="24"/>
        </w:rPr>
        <w:t xml:space="preserve"> DB, Mc </w:t>
      </w:r>
      <w:proofErr w:type="spellStart"/>
      <w:r>
        <w:rPr>
          <w:sz w:val="24"/>
          <w:szCs w:val="24"/>
        </w:rPr>
        <w:t>Chandless</w:t>
      </w:r>
      <w:proofErr w:type="spellEnd"/>
      <w:r>
        <w:rPr>
          <w:sz w:val="24"/>
          <w:szCs w:val="24"/>
        </w:rPr>
        <w:t xml:space="preserve"> </w:t>
      </w:r>
      <w:proofErr w:type="spellStart"/>
      <w:r>
        <w:rPr>
          <w:sz w:val="24"/>
          <w:szCs w:val="24"/>
        </w:rPr>
        <w:t>EL</w:t>
      </w:r>
      <w:proofErr w:type="gramStart"/>
      <w:r>
        <w:rPr>
          <w:sz w:val="24"/>
          <w:szCs w:val="24"/>
        </w:rPr>
        <w:t>,Davis</w:t>
      </w:r>
      <w:proofErr w:type="spellEnd"/>
      <w:proofErr w:type="gramEnd"/>
      <w:r>
        <w:rPr>
          <w:sz w:val="24"/>
          <w:szCs w:val="24"/>
        </w:rPr>
        <w:t xml:space="preserve"> AK (1950). </w:t>
      </w:r>
      <w:proofErr w:type="spellStart"/>
      <w:proofErr w:type="gramStart"/>
      <w:r>
        <w:rPr>
          <w:sz w:val="24"/>
          <w:szCs w:val="24"/>
        </w:rPr>
        <w:t>Microdetermination</w:t>
      </w:r>
      <w:proofErr w:type="spellEnd"/>
      <w:r>
        <w:rPr>
          <w:sz w:val="24"/>
          <w:szCs w:val="24"/>
        </w:rPr>
        <w:t xml:space="preserve"> of plasma phospholipids by </w:t>
      </w:r>
      <w:proofErr w:type="spellStart"/>
      <w:r>
        <w:rPr>
          <w:sz w:val="24"/>
          <w:szCs w:val="24"/>
        </w:rPr>
        <w:t>trichloroacetic</w:t>
      </w:r>
      <w:proofErr w:type="spellEnd"/>
      <w:r>
        <w:rPr>
          <w:sz w:val="24"/>
          <w:szCs w:val="24"/>
        </w:rPr>
        <w:t xml:space="preserve"> acid precipitation.</w:t>
      </w:r>
      <w:proofErr w:type="gramEnd"/>
      <w:r>
        <w:rPr>
          <w:sz w:val="24"/>
          <w:szCs w:val="24"/>
        </w:rPr>
        <w:t xml:space="preserve"> </w:t>
      </w:r>
      <w:proofErr w:type="spellStart"/>
      <w:r>
        <w:rPr>
          <w:sz w:val="24"/>
          <w:szCs w:val="24"/>
        </w:rPr>
        <w:t>J.Lab</w:t>
      </w:r>
      <w:proofErr w:type="spellEnd"/>
      <w:r>
        <w:rPr>
          <w:sz w:val="24"/>
          <w:szCs w:val="24"/>
        </w:rPr>
        <w:t xml:space="preserve"> </w:t>
      </w:r>
      <w:proofErr w:type="spellStart"/>
      <w:r>
        <w:rPr>
          <w:sz w:val="24"/>
          <w:szCs w:val="24"/>
        </w:rPr>
        <w:t>Clin</w:t>
      </w:r>
      <w:proofErr w:type="spellEnd"/>
      <w:r>
        <w:rPr>
          <w:sz w:val="24"/>
          <w:szCs w:val="24"/>
        </w:rPr>
        <w:t xml:space="preserve"> Med 35:155 </w:t>
      </w:r>
    </w:p>
    <w:p w:rsidR="00D92AEC" w:rsidRDefault="00D92AEC" w:rsidP="00700FF0">
      <w:pPr>
        <w:jc w:val="both"/>
        <w:rPr>
          <w:sz w:val="24"/>
          <w:szCs w:val="24"/>
        </w:rPr>
      </w:pPr>
      <w:r>
        <w:rPr>
          <w:sz w:val="24"/>
          <w:szCs w:val="24"/>
        </w:rPr>
        <w:t xml:space="preserve">Foster CS, Dunn O (1973) Stable reagents for determination of serum triglycerides by a colorimetric </w:t>
      </w:r>
      <w:proofErr w:type="spellStart"/>
      <w:r>
        <w:rPr>
          <w:sz w:val="24"/>
          <w:szCs w:val="24"/>
        </w:rPr>
        <w:t>Hantsch</w:t>
      </w:r>
      <w:proofErr w:type="spellEnd"/>
      <w:r>
        <w:rPr>
          <w:sz w:val="24"/>
          <w:szCs w:val="24"/>
        </w:rPr>
        <w:t xml:space="preserve"> condensation method. </w:t>
      </w:r>
      <w:proofErr w:type="spellStart"/>
      <w:r>
        <w:rPr>
          <w:sz w:val="24"/>
          <w:szCs w:val="24"/>
        </w:rPr>
        <w:t>Clin</w:t>
      </w:r>
      <w:proofErr w:type="spellEnd"/>
      <w:r>
        <w:rPr>
          <w:sz w:val="24"/>
          <w:szCs w:val="24"/>
        </w:rPr>
        <w:t xml:space="preserve"> </w:t>
      </w:r>
      <w:proofErr w:type="spellStart"/>
      <w:r>
        <w:rPr>
          <w:sz w:val="24"/>
          <w:szCs w:val="24"/>
        </w:rPr>
        <w:t>Chim</w:t>
      </w:r>
      <w:proofErr w:type="spellEnd"/>
      <w:r>
        <w:rPr>
          <w:sz w:val="24"/>
          <w:szCs w:val="24"/>
        </w:rPr>
        <w:t xml:space="preserve"> </w:t>
      </w:r>
      <w:proofErr w:type="spellStart"/>
      <w:r>
        <w:rPr>
          <w:sz w:val="24"/>
          <w:szCs w:val="24"/>
        </w:rPr>
        <w:t>Acta</w:t>
      </w:r>
      <w:proofErr w:type="spellEnd"/>
      <w:r>
        <w:rPr>
          <w:sz w:val="24"/>
          <w:szCs w:val="24"/>
        </w:rPr>
        <w:t xml:space="preserve"> 19: 338 – 340.</w:t>
      </w:r>
    </w:p>
    <w:p w:rsidR="003F4EAE" w:rsidRDefault="003F4EAE" w:rsidP="00700FF0">
      <w:pPr>
        <w:jc w:val="both"/>
        <w:rPr>
          <w:sz w:val="24"/>
          <w:szCs w:val="24"/>
        </w:rPr>
      </w:pPr>
      <w:proofErr w:type="spellStart"/>
      <w:r>
        <w:rPr>
          <w:sz w:val="24"/>
          <w:szCs w:val="24"/>
        </w:rPr>
        <w:lastRenderedPageBreak/>
        <w:t>Zlatkis</w:t>
      </w:r>
      <w:proofErr w:type="spellEnd"/>
      <w:r>
        <w:rPr>
          <w:sz w:val="24"/>
          <w:szCs w:val="24"/>
        </w:rPr>
        <w:t xml:space="preserve"> A, Zak </w:t>
      </w:r>
      <w:proofErr w:type="spellStart"/>
      <w:r>
        <w:rPr>
          <w:sz w:val="24"/>
          <w:szCs w:val="24"/>
        </w:rPr>
        <w:t>B</w:t>
      </w:r>
      <w:proofErr w:type="gramStart"/>
      <w:r>
        <w:rPr>
          <w:sz w:val="24"/>
          <w:szCs w:val="24"/>
        </w:rPr>
        <w:t>,</w:t>
      </w:r>
      <w:r w:rsidRPr="006D2D9D">
        <w:rPr>
          <w:sz w:val="24"/>
          <w:szCs w:val="24"/>
        </w:rPr>
        <w:t>Boyle</w:t>
      </w:r>
      <w:proofErr w:type="spellEnd"/>
      <w:proofErr w:type="gramEnd"/>
      <w:r w:rsidRPr="006D2D9D">
        <w:rPr>
          <w:sz w:val="24"/>
          <w:szCs w:val="24"/>
        </w:rPr>
        <w:t xml:space="preserve"> AJ (1953) A new method for the direct determination of serum cholesterol. J Lab </w:t>
      </w:r>
      <w:proofErr w:type="spellStart"/>
      <w:r w:rsidRPr="006D2D9D">
        <w:rPr>
          <w:sz w:val="24"/>
          <w:szCs w:val="24"/>
        </w:rPr>
        <w:t>Clin</w:t>
      </w:r>
      <w:proofErr w:type="spellEnd"/>
      <w:r w:rsidRPr="006D2D9D">
        <w:rPr>
          <w:sz w:val="24"/>
          <w:szCs w:val="24"/>
        </w:rPr>
        <w:t xml:space="preserve"> Med 45:486.</w:t>
      </w:r>
    </w:p>
    <w:p w:rsidR="003F4EAE" w:rsidRDefault="003F4EAE" w:rsidP="00700FF0">
      <w:pPr>
        <w:jc w:val="both"/>
        <w:rPr>
          <w:sz w:val="24"/>
          <w:szCs w:val="24"/>
        </w:rPr>
      </w:pPr>
      <w:r>
        <w:rPr>
          <w:sz w:val="24"/>
          <w:szCs w:val="24"/>
        </w:rPr>
        <w:t xml:space="preserve">Nelson NL, Cox MM (2000) </w:t>
      </w:r>
      <w:proofErr w:type="spellStart"/>
      <w:r>
        <w:rPr>
          <w:sz w:val="24"/>
          <w:szCs w:val="24"/>
        </w:rPr>
        <w:t>Lehninghr</w:t>
      </w:r>
      <w:proofErr w:type="spellEnd"/>
      <w:r>
        <w:rPr>
          <w:sz w:val="24"/>
          <w:szCs w:val="24"/>
        </w:rPr>
        <w:t xml:space="preserve"> Principles of Biochemistry Macmillan Worth Publishers, </w:t>
      </w:r>
      <w:proofErr w:type="spellStart"/>
      <w:r>
        <w:rPr>
          <w:sz w:val="24"/>
          <w:szCs w:val="24"/>
        </w:rPr>
        <w:t>Hampshi</w:t>
      </w:r>
      <w:proofErr w:type="spellEnd"/>
      <w:r w:rsidRPr="003F4EAE">
        <w:rPr>
          <w:sz w:val="24"/>
          <w:szCs w:val="24"/>
        </w:rPr>
        <w:t xml:space="preserve"> </w:t>
      </w:r>
      <w:proofErr w:type="spellStart"/>
      <w:r>
        <w:rPr>
          <w:sz w:val="24"/>
          <w:szCs w:val="24"/>
        </w:rPr>
        <w:t>re</w:t>
      </w:r>
      <w:proofErr w:type="gramStart"/>
      <w:r>
        <w:rPr>
          <w:sz w:val="24"/>
          <w:szCs w:val="24"/>
        </w:rPr>
        <w:t>,UK</w:t>
      </w:r>
      <w:proofErr w:type="spellEnd"/>
      <w:proofErr w:type="gramEnd"/>
    </w:p>
    <w:p w:rsidR="003F4EAE" w:rsidRDefault="003F4EAE" w:rsidP="00700FF0">
      <w:pPr>
        <w:jc w:val="both"/>
        <w:rPr>
          <w:sz w:val="24"/>
          <w:szCs w:val="24"/>
        </w:rPr>
      </w:pPr>
      <w:proofErr w:type="spellStart"/>
      <w:r>
        <w:rPr>
          <w:sz w:val="24"/>
          <w:szCs w:val="24"/>
        </w:rPr>
        <w:t>Vidya</w:t>
      </w:r>
      <w:proofErr w:type="spellEnd"/>
      <w:r>
        <w:rPr>
          <w:sz w:val="24"/>
          <w:szCs w:val="24"/>
        </w:rPr>
        <w:t xml:space="preserve"> M, Subramanian P (2003) </w:t>
      </w:r>
      <w:proofErr w:type="gramStart"/>
      <w:r>
        <w:rPr>
          <w:sz w:val="24"/>
          <w:szCs w:val="24"/>
        </w:rPr>
        <w:t>Enhancement  of</w:t>
      </w:r>
      <w:proofErr w:type="gramEnd"/>
      <w:r>
        <w:rPr>
          <w:sz w:val="24"/>
          <w:szCs w:val="24"/>
        </w:rPr>
        <w:t xml:space="preserve"> circulatory antioxidants by α- </w:t>
      </w:r>
      <w:proofErr w:type="spellStart"/>
      <w:r>
        <w:rPr>
          <w:sz w:val="24"/>
          <w:szCs w:val="24"/>
        </w:rPr>
        <w:t>ketoglutarate</w:t>
      </w:r>
      <w:proofErr w:type="spellEnd"/>
      <w:r>
        <w:rPr>
          <w:sz w:val="24"/>
          <w:szCs w:val="24"/>
        </w:rPr>
        <w:t xml:space="preserve"> during sodium valproate treatment in </w:t>
      </w:r>
      <w:proofErr w:type="spellStart"/>
      <w:r>
        <w:rPr>
          <w:sz w:val="24"/>
          <w:szCs w:val="24"/>
        </w:rPr>
        <w:t>Wistar</w:t>
      </w:r>
      <w:proofErr w:type="spellEnd"/>
      <w:r>
        <w:rPr>
          <w:sz w:val="24"/>
          <w:szCs w:val="24"/>
        </w:rPr>
        <w:t xml:space="preserve"> rats. Pol J </w:t>
      </w:r>
      <w:proofErr w:type="spellStart"/>
      <w:r>
        <w:rPr>
          <w:sz w:val="24"/>
          <w:szCs w:val="24"/>
        </w:rPr>
        <w:t>Pharmacol</w:t>
      </w:r>
      <w:proofErr w:type="spellEnd"/>
      <w:r>
        <w:rPr>
          <w:sz w:val="24"/>
          <w:szCs w:val="24"/>
        </w:rPr>
        <w:t xml:space="preserve"> </w:t>
      </w:r>
      <w:proofErr w:type="gramStart"/>
      <w:r>
        <w:rPr>
          <w:sz w:val="24"/>
          <w:szCs w:val="24"/>
        </w:rPr>
        <w:t>55 :</w:t>
      </w:r>
      <w:proofErr w:type="gramEnd"/>
      <w:r>
        <w:rPr>
          <w:sz w:val="24"/>
          <w:szCs w:val="24"/>
        </w:rPr>
        <w:t xml:space="preserve"> 31 – 36</w:t>
      </w:r>
    </w:p>
    <w:p w:rsidR="003F4EAE" w:rsidRPr="006D2D9D" w:rsidRDefault="003F4EAE" w:rsidP="00700FF0">
      <w:pPr>
        <w:jc w:val="both"/>
        <w:rPr>
          <w:sz w:val="24"/>
          <w:szCs w:val="24"/>
        </w:rPr>
      </w:pPr>
      <w:proofErr w:type="spellStart"/>
      <w:r w:rsidRPr="006D2D9D">
        <w:rPr>
          <w:sz w:val="24"/>
          <w:szCs w:val="24"/>
        </w:rPr>
        <w:t>Lastra</w:t>
      </w:r>
      <w:proofErr w:type="spellEnd"/>
      <w:r w:rsidRPr="006D2D9D">
        <w:rPr>
          <w:sz w:val="24"/>
          <w:szCs w:val="24"/>
        </w:rPr>
        <w:t xml:space="preserve"> </w:t>
      </w:r>
      <w:proofErr w:type="spellStart"/>
      <w:proofErr w:type="gramStart"/>
      <w:r w:rsidRPr="006D2D9D">
        <w:rPr>
          <w:sz w:val="24"/>
          <w:szCs w:val="24"/>
        </w:rPr>
        <w:t>Ld</w:t>
      </w:r>
      <w:proofErr w:type="spellEnd"/>
      <w:proofErr w:type="gramEnd"/>
      <w:r w:rsidRPr="006D2D9D">
        <w:rPr>
          <w:sz w:val="24"/>
          <w:szCs w:val="24"/>
        </w:rPr>
        <w:t xml:space="preserve">, </w:t>
      </w:r>
      <w:proofErr w:type="spellStart"/>
      <w:r w:rsidRPr="006D2D9D">
        <w:rPr>
          <w:sz w:val="24"/>
          <w:szCs w:val="24"/>
        </w:rPr>
        <w:t>Cazeba</w:t>
      </w:r>
      <w:proofErr w:type="spellEnd"/>
      <w:r w:rsidRPr="006D2D9D">
        <w:rPr>
          <w:sz w:val="24"/>
          <w:szCs w:val="24"/>
        </w:rPr>
        <w:t xml:space="preserve"> J, Motiva V, Martin </w:t>
      </w:r>
      <w:proofErr w:type="spellStart"/>
      <w:r w:rsidRPr="006D2D9D">
        <w:rPr>
          <w:sz w:val="24"/>
          <w:szCs w:val="24"/>
        </w:rPr>
        <w:t>Mj</w:t>
      </w:r>
      <w:proofErr w:type="spellEnd"/>
      <w:r w:rsidRPr="006D2D9D">
        <w:rPr>
          <w:sz w:val="24"/>
          <w:szCs w:val="24"/>
        </w:rPr>
        <w:t xml:space="preserve"> (1997) Melatonin protects against gastric ischemia-reperfusion injury in rats. J Pineal Res 23:47-52.</w:t>
      </w:r>
    </w:p>
    <w:p w:rsidR="003F4EAE" w:rsidRDefault="003F4EAE" w:rsidP="00700FF0">
      <w:pPr>
        <w:jc w:val="both"/>
        <w:rPr>
          <w:sz w:val="24"/>
          <w:szCs w:val="24"/>
        </w:rPr>
      </w:pPr>
      <w:proofErr w:type="spellStart"/>
      <w:r w:rsidRPr="006D2D9D">
        <w:rPr>
          <w:sz w:val="24"/>
          <w:szCs w:val="24"/>
        </w:rPr>
        <w:t>Halliwell</w:t>
      </w:r>
      <w:proofErr w:type="spellEnd"/>
      <w:r w:rsidRPr="006D2D9D">
        <w:rPr>
          <w:sz w:val="24"/>
          <w:szCs w:val="24"/>
        </w:rPr>
        <w:t xml:space="preserve"> B, </w:t>
      </w:r>
      <w:proofErr w:type="spellStart"/>
      <w:r w:rsidRPr="006D2D9D">
        <w:rPr>
          <w:sz w:val="24"/>
          <w:szCs w:val="24"/>
        </w:rPr>
        <w:t>Gutteridge</w:t>
      </w:r>
      <w:proofErr w:type="spellEnd"/>
      <w:r w:rsidRPr="006D2D9D">
        <w:rPr>
          <w:sz w:val="24"/>
          <w:szCs w:val="24"/>
        </w:rPr>
        <w:t xml:space="preserve"> JMC (1999) Free radicals in biology and medicine 3</w:t>
      </w:r>
      <w:r w:rsidRPr="006D2D9D">
        <w:rPr>
          <w:sz w:val="24"/>
          <w:szCs w:val="24"/>
          <w:vertAlign w:val="superscript"/>
        </w:rPr>
        <w:t>rd</w:t>
      </w:r>
      <w:r w:rsidRPr="006D2D9D">
        <w:rPr>
          <w:sz w:val="24"/>
          <w:szCs w:val="24"/>
        </w:rPr>
        <w:t xml:space="preserve"> </w:t>
      </w:r>
      <w:proofErr w:type="spellStart"/>
      <w:r w:rsidRPr="006D2D9D">
        <w:rPr>
          <w:sz w:val="24"/>
          <w:szCs w:val="24"/>
        </w:rPr>
        <w:t>een.Oxford</w:t>
      </w:r>
      <w:proofErr w:type="spellEnd"/>
      <w:r w:rsidRPr="006D2D9D">
        <w:rPr>
          <w:sz w:val="24"/>
          <w:szCs w:val="24"/>
        </w:rPr>
        <w:t xml:space="preserve"> Science Publications, UK</w:t>
      </w:r>
    </w:p>
    <w:p w:rsidR="003F4EAE" w:rsidRDefault="003F4EAE" w:rsidP="00700FF0">
      <w:pPr>
        <w:jc w:val="both"/>
        <w:rPr>
          <w:sz w:val="24"/>
          <w:szCs w:val="24"/>
        </w:rPr>
      </w:pPr>
      <w:proofErr w:type="spellStart"/>
      <w:r w:rsidRPr="006D2D9D">
        <w:rPr>
          <w:sz w:val="24"/>
          <w:szCs w:val="24"/>
        </w:rPr>
        <w:t>Luperchio</w:t>
      </w:r>
      <w:proofErr w:type="spellEnd"/>
      <w:r w:rsidRPr="006D2D9D">
        <w:rPr>
          <w:sz w:val="24"/>
          <w:szCs w:val="24"/>
        </w:rPr>
        <w:t xml:space="preserve"> S, </w:t>
      </w:r>
      <w:proofErr w:type="spellStart"/>
      <w:r w:rsidRPr="006D2D9D">
        <w:rPr>
          <w:sz w:val="24"/>
          <w:szCs w:val="24"/>
        </w:rPr>
        <w:t>Tamir</w:t>
      </w:r>
      <w:proofErr w:type="spellEnd"/>
      <w:r w:rsidRPr="006D2D9D">
        <w:rPr>
          <w:sz w:val="24"/>
          <w:szCs w:val="24"/>
        </w:rPr>
        <w:t xml:space="preserve"> </w:t>
      </w:r>
      <w:proofErr w:type="spellStart"/>
      <w:r w:rsidRPr="006D2D9D">
        <w:rPr>
          <w:sz w:val="24"/>
          <w:szCs w:val="24"/>
        </w:rPr>
        <w:t>S,Tannenbaum</w:t>
      </w:r>
      <w:proofErr w:type="spellEnd"/>
      <w:r w:rsidRPr="006D2D9D">
        <w:rPr>
          <w:sz w:val="24"/>
          <w:szCs w:val="24"/>
        </w:rPr>
        <w:t xml:space="preserve"> SR (1996) NO-induced oxidative stress and glutathione metabolism in rodent and human cells. Free Radical </w:t>
      </w:r>
      <w:proofErr w:type="spellStart"/>
      <w:r w:rsidRPr="006D2D9D">
        <w:rPr>
          <w:sz w:val="24"/>
          <w:szCs w:val="24"/>
        </w:rPr>
        <w:t>Biol</w:t>
      </w:r>
      <w:proofErr w:type="spellEnd"/>
      <w:r w:rsidRPr="006D2D9D">
        <w:rPr>
          <w:sz w:val="24"/>
          <w:szCs w:val="24"/>
        </w:rPr>
        <w:t xml:space="preserve"> Med 21:513-519</w:t>
      </w:r>
    </w:p>
    <w:p w:rsidR="00A3060C" w:rsidRDefault="003F4EAE" w:rsidP="00700FF0">
      <w:pPr>
        <w:jc w:val="both"/>
        <w:rPr>
          <w:sz w:val="24"/>
          <w:szCs w:val="24"/>
        </w:rPr>
      </w:pPr>
      <w:r w:rsidRPr="006D2D9D">
        <w:rPr>
          <w:sz w:val="24"/>
          <w:szCs w:val="24"/>
        </w:rPr>
        <w:t xml:space="preserve">Urata Y, </w:t>
      </w:r>
      <w:proofErr w:type="spellStart"/>
      <w:r w:rsidRPr="006D2D9D">
        <w:rPr>
          <w:sz w:val="24"/>
          <w:szCs w:val="24"/>
        </w:rPr>
        <w:t>Honma</w:t>
      </w:r>
      <w:proofErr w:type="spellEnd"/>
      <w:r w:rsidRPr="006D2D9D">
        <w:rPr>
          <w:sz w:val="24"/>
          <w:szCs w:val="24"/>
        </w:rPr>
        <w:t xml:space="preserve"> </w:t>
      </w:r>
      <w:proofErr w:type="spellStart"/>
      <w:r w:rsidRPr="006D2D9D">
        <w:rPr>
          <w:sz w:val="24"/>
          <w:szCs w:val="24"/>
        </w:rPr>
        <w:t>S,Goto</w:t>
      </w:r>
      <w:proofErr w:type="spellEnd"/>
      <w:r w:rsidRPr="006D2D9D">
        <w:rPr>
          <w:sz w:val="24"/>
          <w:szCs w:val="24"/>
        </w:rPr>
        <w:t xml:space="preserve"> s, </w:t>
      </w:r>
      <w:proofErr w:type="spellStart"/>
      <w:r w:rsidRPr="006D2D9D">
        <w:rPr>
          <w:sz w:val="24"/>
          <w:szCs w:val="24"/>
        </w:rPr>
        <w:t>Todoroki</w:t>
      </w:r>
      <w:proofErr w:type="spellEnd"/>
      <w:r w:rsidRPr="006D2D9D">
        <w:rPr>
          <w:sz w:val="24"/>
          <w:szCs w:val="24"/>
        </w:rPr>
        <w:t xml:space="preserve"> S, Ueda T, Cho S, </w:t>
      </w:r>
      <w:proofErr w:type="spellStart"/>
      <w:r w:rsidRPr="006D2D9D">
        <w:rPr>
          <w:sz w:val="24"/>
          <w:szCs w:val="24"/>
        </w:rPr>
        <w:t>Honma</w:t>
      </w:r>
      <w:proofErr w:type="spellEnd"/>
      <w:r w:rsidRPr="006D2D9D">
        <w:rPr>
          <w:sz w:val="24"/>
          <w:szCs w:val="24"/>
        </w:rPr>
        <w:t xml:space="preserve"> K., Kondo T, (1999) Melatonin induces ϒ-</w:t>
      </w:r>
      <w:proofErr w:type="spellStart"/>
      <w:r w:rsidRPr="006D2D9D">
        <w:rPr>
          <w:sz w:val="24"/>
          <w:szCs w:val="24"/>
        </w:rPr>
        <w:t>glutamycystenine</w:t>
      </w:r>
      <w:proofErr w:type="spellEnd"/>
      <w:r w:rsidRPr="006D2D9D">
        <w:rPr>
          <w:sz w:val="24"/>
          <w:szCs w:val="24"/>
        </w:rPr>
        <w:t xml:space="preserve"> synthase mediated by activator protein-1 in </w:t>
      </w:r>
      <w:proofErr w:type="spellStart"/>
      <w:r w:rsidRPr="006D2D9D">
        <w:rPr>
          <w:sz w:val="24"/>
          <w:szCs w:val="24"/>
        </w:rPr>
        <w:t>numan</w:t>
      </w:r>
      <w:proofErr w:type="spellEnd"/>
      <w:r w:rsidRPr="006D2D9D">
        <w:rPr>
          <w:sz w:val="24"/>
          <w:szCs w:val="24"/>
        </w:rPr>
        <w:t xml:space="preserve"> vascular endothelial cells. Free Radical </w:t>
      </w:r>
      <w:proofErr w:type="spellStart"/>
      <w:r w:rsidRPr="006D2D9D">
        <w:rPr>
          <w:sz w:val="24"/>
          <w:szCs w:val="24"/>
        </w:rPr>
        <w:t>Biol</w:t>
      </w:r>
      <w:proofErr w:type="spellEnd"/>
      <w:r w:rsidRPr="006D2D9D">
        <w:rPr>
          <w:sz w:val="24"/>
          <w:szCs w:val="24"/>
        </w:rPr>
        <w:t xml:space="preserve"> Med 27: 838-847</w:t>
      </w:r>
    </w:p>
    <w:p w:rsidR="003F4EAE" w:rsidRDefault="003F4EAE" w:rsidP="00700FF0">
      <w:pPr>
        <w:jc w:val="both"/>
        <w:rPr>
          <w:sz w:val="24"/>
          <w:szCs w:val="24"/>
        </w:rPr>
      </w:pPr>
      <w:r w:rsidRPr="006D2D9D">
        <w:rPr>
          <w:sz w:val="24"/>
          <w:szCs w:val="24"/>
        </w:rPr>
        <w:t xml:space="preserve">Barlow-Walden  </w:t>
      </w:r>
      <w:proofErr w:type="spellStart"/>
      <w:r w:rsidRPr="006D2D9D">
        <w:rPr>
          <w:sz w:val="24"/>
          <w:szCs w:val="24"/>
        </w:rPr>
        <w:t>LR,Reiter</w:t>
      </w:r>
      <w:proofErr w:type="spellEnd"/>
      <w:r w:rsidRPr="006D2D9D">
        <w:rPr>
          <w:sz w:val="24"/>
          <w:szCs w:val="24"/>
        </w:rPr>
        <w:t xml:space="preserve"> RJ, Abe M, </w:t>
      </w:r>
      <w:proofErr w:type="spellStart"/>
      <w:r w:rsidRPr="006D2D9D">
        <w:rPr>
          <w:sz w:val="24"/>
          <w:szCs w:val="24"/>
        </w:rPr>
        <w:t>Pablos</w:t>
      </w:r>
      <w:proofErr w:type="spellEnd"/>
      <w:r w:rsidRPr="006D2D9D">
        <w:rPr>
          <w:sz w:val="24"/>
          <w:szCs w:val="24"/>
        </w:rPr>
        <w:t xml:space="preserve"> M, </w:t>
      </w:r>
      <w:proofErr w:type="spellStart"/>
      <w:r w:rsidRPr="006D2D9D">
        <w:rPr>
          <w:sz w:val="24"/>
          <w:szCs w:val="24"/>
        </w:rPr>
        <w:t>Pelaez</w:t>
      </w:r>
      <w:proofErr w:type="spellEnd"/>
      <w:r w:rsidRPr="006D2D9D">
        <w:rPr>
          <w:sz w:val="24"/>
          <w:szCs w:val="24"/>
        </w:rPr>
        <w:t xml:space="preserve"> Ma, Chen LD (1995) Melatonin stimulates brain glutathione peroxidase activity. </w:t>
      </w:r>
      <w:proofErr w:type="spellStart"/>
      <w:r w:rsidRPr="006D2D9D">
        <w:rPr>
          <w:sz w:val="24"/>
          <w:szCs w:val="24"/>
        </w:rPr>
        <w:t>Neurochem</w:t>
      </w:r>
      <w:proofErr w:type="spellEnd"/>
      <w:r w:rsidRPr="006D2D9D">
        <w:rPr>
          <w:sz w:val="24"/>
          <w:szCs w:val="24"/>
        </w:rPr>
        <w:t xml:space="preserve"> </w:t>
      </w:r>
      <w:proofErr w:type="spellStart"/>
      <w:r w:rsidRPr="006D2D9D">
        <w:rPr>
          <w:sz w:val="24"/>
          <w:szCs w:val="24"/>
        </w:rPr>
        <w:t>Int</w:t>
      </w:r>
      <w:proofErr w:type="spellEnd"/>
      <w:r w:rsidRPr="006D2D9D">
        <w:rPr>
          <w:sz w:val="24"/>
          <w:szCs w:val="24"/>
        </w:rPr>
        <w:t xml:space="preserve"> 26: 497 -502</w:t>
      </w:r>
    </w:p>
    <w:p w:rsidR="003F4EAE" w:rsidRDefault="003F4EAE" w:rsidP="00700FF0">
      <w:pPr>
        <w:jc w:val="both"/>
        <w:rPr>
          <w:sz w:val="24"/>
          <w:szCs w:val="24"/>
        </w:rPr>
      </w:pPr>
      <w:proofErr w:type="spellStart"/>
      <w:r w:rsidRPr="006D2D9D">
        <w:rPr>
          <w:sz w:val="24"/>
          <w:szCs w:val="24"/>
        </w:rPr>
        <w:t>Antolin</w:t>
      </w:r>
      <w:proofErr w:type="spellEnd"/>
      <w:r w:rsidRPr="006D2D9D">
        <w:rPr>
          <w:sz w:val="24"/>
          <w:szCs w:val="24"/>
        </w:rPr>
        <w:t xml:space="preserve"> I, Rodriguez C, </w:t>
      </w:r>
      <w:proofErr w:type="spellStart"/>
      <w:r w:rsidRPr="006D2D9D">
        <w:rPr>
          <w:sz w:val="24"/>
          <w:szCs w:val="24"/>
        </w:rPr>
        <w:t>Sainz</w:t>
      </w:r>
      <w:proofErr w:type="spellEnd"/>
      <w:r w:rsidRPr="006D2D9D">
        <w:rPr>
          <w:sz w:val="24"/>
          <w:szCs w:val="24"/>
        </w:rPr>
        <w:t xml:space="preserve"> RM (1996) </w:t>
      </w:r>
      <w:proofErr w:type="spellStart"/>
      <w:r w:rsidRPr="006D2D9D">
        <w:rPr>
          <w:sz w:val="24"/>
          <w:szCs w:val="24"/>
        </w:rPr>
        <w:t>Neurohormone</w:t>
      </w:r>
      <w:proofErr w:type="spellEnd"/>
      <w:r w:rsidRPr="006D2D9D">
        <w:rPr>
          <w:sz w:val="24"/>
          <w:szCs w:val="24"/>
        </w:rPr>
        <w:t xml:space="preserve"> melatonin prevents cell damage effect on gene expression for antioxidant enzymes. FASEB J 10: 882 -890.</w:t>
      </w:r>
    </w:p>
    <w:p w:rsidR="00D92AEC" w:rsidRPr="006D2D9D" w:rsidRDefault="00D92AEC" w:rsidP="00700FF0">
      <w:pPr>
        <w:jc w:val="both"/>
        <w:rPr>
          <w:sz w:val="24"/>
          <w:szCs w:val="24"/>
        </w:rPr>
      </w:pPr>
      <w:r>
        <w:rPr>
          <w:sz w:val="24"/>
          <w:szCs w:val="24"/>
        </w:rPr>
        <w:t xml:space="preserve">Reiter </w:t>
      </w:r>
      <w:proofErr w:type="gramStart"/>
      <w:r>
        <w:rPr>
          <w:sz w:val="24"/>
          <w:szCs w:val="24"/>
        </w:rPr>
        <w:t>RJ  and</w:t>
      </w:r>
      <w:proofErr w:type="gramEnd"/>
      <w:r>
        <w:rPr>
          <w:sz w:val="24"/>
          <w:szCs w:val="24"/>
        </w:rPr>
        <w:t xml:space="preserve"> Tan DX (2003). Melatonin: a novel protection agent against oxidative injury of the </w:t>
      </w:r>
      <w:proofErr w:type="gramStart"/>
      <w:r>
        <w:rPr>
          <w:sz w:val="24"/>
          <w:szCs w:val="24"/>
        </w:rPr>
        <w:t xml:space="preserve">ischemic  </w:t>
      </w:r>
      <w:proofErr w:type="spellStart"/>
      <w:r>
        <w:rPr>
          <w:sz w:val="24"/>
          <w:szCs w:val="24"/>
        </w:rPr>
        <w:t>reperfused</w:t>
      </w:r>
      <w:proofErr w:type="spellEnd"/>
      <w:proofErr w:type="gramEnd"/>
      <w:r>
        <w:rPr>
          <w:sz w:val="24"/>
          <w:szCs w:val="24"/>
        </w:rPr>
        <w:t xml:space="preserve"> heart. </w:t>
      </w:r>
      <w:proofErr w:type="spellStart"/>
      <w:proofErr w:type="gramStart"/>
      <w:r>
        <w:rPr>
          <w:sz w:val="24"/>
          <w:szCs w:val="24"/>
        </w:rPr>
        <w:t>Cardiovasc</w:t>
      </w:r>
      <w:proofErr w:type="spellEnd"/>
      <w:r>
        <w:rPr>
          <w:sz w:val="24"/>
          <w:szCs w:val="24"/>
        </w:rPr>
        <w:t xml:space="preserve"> Res 58:10 – 19.</w:t>
      </w:r>
      <w:proofErr w:type="gramEnd"/>
    </w:p>
    <w:p w:rsidR="00A3060C" w:rsidRDefault="00773622" w:rsidP="00700FF0">
      <w:pPr>
        <w:jc w:val="both"/>
        <w:rPr>
          <w:sz w:val="24"/>
          <w:szCs w:val="24"/>
        </w:rPr>
      </w:pPr>
      <w:r w:rsidRPr="006D2D9D">
        <w:rPr>
          <w:sz w:val="24"/>
          <w:szCs w:val="24"/>
        </w:rPr>
        <w:t xml:space="preserve">Yamamoto H (1989) </w:t>
      </w:r>
      <w:proofErr w:type="spellStart"/>
      <w:r w:rsidRPr="006D2D9D">
        <w:rPr>
          <w:sz w:val="24"/>
          <w:szCs w:val="24"/>
        </w:rPr>
        <w:t>Hyperammonemia</w:t>
      </w:r>
      <w:proofErr w:type="spellEnd"/>
      <w:r w:rsidRPr="006D2D9D">
        <w:rPr>
          <w:sz w:val="24"/>
          <w:szCs w:val="24"/>
        </w:rPr>
        <w:t xml:space="preserve">: increased brain neutral and aromatic amino acid levels and encephalopathy induced by cyanide in mice. J </w:t>
      </w:r>
      <w:proofErr w:type="spellStart"/>
      <w:r w:rsidRPr="006D2D9D">
        <w:rPr>
          <w:sz w:val="24"/>
          <w:szCs w:val="24"/>
        </w:rPr>
        <w:t>Toxicol</w:t>
      </w:r>
      <w:proofErr w:type="spellEnd"/>
      <w:r w:rsidRPr="006D2D9D">
        <w:rPr>
          <w:sz w:val="24"/>
          <w:szCs w:val="24"/>
        </w:rPr>
        <w:t xml:space="preserve"> </w:t>
      </w:r>
      <w:proofErr w:type="spellStart"/>
      <w:r w:rsidRPr="006D2D9D">
        <w:rPr>
          <w:sz w:val="24"/>
          <w:szCs w:val="24"/>
        </w:rPr>
        <w:t>Appl</w:t>
      </w:r>
      <w:proofErr w:type="spellEnd"/>
      <w:r w:rsidRPr="006D2D9D">
        <w:rPr>
          <w:sz w:val="24"/>
          <w:szCs w:val="24"/>
        </w:rPr>
        <w:t xml:space="preserve"> </w:t>
      </w:r>
      <w:proofErr w:type="spellStart"/>
      <w:r w:rsidRPr="006D2D9D">
        <w:rPr>
          <w:sz w:val="24"/>
          <w:szCs w:val="24"/>
        </w:rPr>
        <w:t>Pharmacol</w:t>
      </w:r>
      <w:proofErr w:type="spellEnd"/>
      <w:r w:rsidRPr="006D2D9D">
        <w:rPr>
          <w:sz w:val="24"/>
          <w:szCs w:val="24"/>
        </w:rPr>
        <w:t xml:space="preserve"> 99: 415-420.</w:t>
      </w:r>
    </w:p>
    <w:p w:rsidR="00A3060C" w:rsidRDefault="00773622" w:rsidP="00700FF0">
      <w:pPr>
        <w:jc w:val="both"/>
        <w:rPr>
          <w:sz w:val="24"/>
          <w:szCs w:val="24"/>
        </w:rPr>
      </w:pPr>
      <w:r w:rsidRPr="006D2D9D">
        <w:rPr>
          <w:sz w:val="24"/>
          <w:szCs w:val="24"/>
        </w:rPr>
        <w:t xml:space="preserve">Tan DX, Manchester LC , Reiter RJ, Plummer BF, </w:t>
      </w:r>
      <w:proofErr w:type="spellStart"/>
      <w:r w:rsidRPr="006D2D9D">
        <w:rPr>
          <w:sz w:val="24"/>
          <w:szCs w:val="24"/>
        </w:rPr>
        <w:t>Limson</w:t>
      </w:r>
      <w:proofErr w:type="spellEnd"/>
      <w:r w:rsidRPr="006D2D9D">
        <w:rPr>
          <w:sz w:val="24"/>
          <w:szCs w:val="24"/>
        </w:rPr>
        <w:t xml:space="preserve"> J, Weintraub </w:t>
      </w:r>
      <w:proofErr w:type="spellStart"/>
      <w:r w:rsidRPr="006D2D9D">
        <w:rPr>
          <w:sz w:val="24"/>
          <w:szCs w:val="24"/>
        </w:rPr>
        <w:t>ST,Qi</w:t>
      </w:r>
      <w:proofErr w:type="spellEnd"/>
      <w:r w:rsidRPr="006D2D9D">
        <w:rPr>
          <w:sz w:val="24"/>
          <w:szCs w:val="24"/>
        </w:rPr>
        <w:t xml:space="preserve"> W (2000) Melatonin directly scavenges H</w:t>
      </w:r>
      <w:r w:rsidRPr="006D2D9D">
        <w:rPr>
          <w:sz w:val="24"/>
          <w:szCs w:val="24"/>
          <w:vertAlign w:val="subscript"/>
        </w:rPr>
        <w:t>2</w:t>
      </w:r>
      <w:r w:rsidRPr="006D2D9D">
        <w:rPr>
          <w:sz w:val="24"/>
          <w:szCs w:val="24"/>
        </w:rPr>
        <w:t>O</w:t>
      </w:r>
      <w:r w:rsidRPr="006D2D9D">
        <w:rPr>
          <w:sz w:val="24"/>
          <w:szCs w:val="24"/>
          <w:vertAlign w:val="subscript"/>
        </w:rPr>
        <w:t>2</w:t>
      </w:r>
      <w:r w:rsidRPr="006D2D9D">
        <w:rPr>
          <w:sz w:val="24"/>
          <w:szCs w:val="24"/>
        </w:rPr>
        <w:t xml:space="preserve">: a potentially </w:t>
      </w:r>
      <w:proofErr w:type="gramStart"/>
      <w:r w:rsidRPr="006D2D9D">
        <w:rPr>
          <w:sz w:val="24"/>
          <w:szCs w:val="24"/>
        </w:rPr>
        <w:t>new</w:t>
      </w:r>
      <w:proofErr w:type="gramEnd"/>
      <w:r w:rsidRPr="006D2D9D">
        <w:rPr>
          <w:sz w:val="24"/>
          <w:szCs w:val="24"/>
        </w:rPr>
        <w:t xml:space="preserve"> metabolic pathway of melatonin biotransformation. Free Radical </w:t>
      </w:r>
      <w:proofErr w:type="spellStart"/>
      <w:r w:rsidRPr="006D2D9D">
        <w:rPr>
          <w:sz w:val="24"/>
          <w:szCs w:val="24"/>
        </w:rPr>
        <w:t>Biol</w:t>
      </w:r>
      <w:proofErr w:type="spellEnd"/>
      <w:r w:rsidRPr="006D2D9D">
        <w:rPr>
          <w:sz w:val="24"/>
          <w:szCs w:val="24"/>
        </w:rPr>
        <w:t xml:space="preserve"> Med 29:1177-1185</w:t>
      </w:r>
    </w:p>
    <w:p w:rsidR="00773622" w:rsidRPr="006D2D9D" w:rsidRDefault="00773622" w:rsidP="00700FF0">
      <w:pPr>
        <w:jc w:val="both"/>
        <w:rPr>
          <w:sz w:val="24"/>
          <w:szCs w:val="24"/>
        </w:rPr>
      </w:pPr>
      <w:proofErr w:type="spellStart"/>
      <w:r w:rsidRPr="006D2D9D">
        <w:rPr>
          <w:sz w:val="24"/>
          <w:szCs w:val="24"/>
        </w:rPr>
        <w:lastRenderedPageBreak/>
        <w:t>Baydas</w:t>
      </w:r>
      <w:proofErr w:type="spellEnd"/>
      <w:r w:rsidRPr="006D2D9D">
        <w:rPr>
          <w:sz w:val="24"/>
          <w:szCs w:val="24"/>
        </w:rPr>
        <w:t xml:space="preserve"> G, Yilmaz O, </w:t>
      </w:r>
      <w:proofErr w:type="spellStart"/>
      <w:r w:rsidRPr="006D2D9D">
        <w:rPr>
          <w:sz w:val="24"/>
          <w:szCs w:val="24"/>
        </w:rPr>
        <w:t>Celik</w:t>
      </w:r>
      <w:proofErr w:type="spellEnd"/>
      <w:r w:rsidRPr="006D2D9D">
        <w:rPr>
          <w:sz w:val="24"/>
          <w:szCs w:val="24"/>
        </w:rPr>
        <w:t xml:space="preserve"> S, </w:t>
      </w:r>
      <w:proofErr w:type="spellStart"/>
      <w:r w:rsidRPr="006D2D9D">
        <w:rPr>
          <w:sz w:val="24"/>
          <w:szCs w:val="24"/>
        </w:rPr>
        <w:t>Yasar</w:t>
      </w:r>
      <w:proofErr w:type="spellEnd"/>
      <w:r w:rsidRPr="006D2D9D">
        <w:rPr>
          <w:sz w:val="24"/>
          <w:szCs w:val="24"/>
        </w:rPr>
        <w:t xml:space="preserve"> A, </w:t>
      </w:r>
      <w:proofErr w:type="spellStart"/>
      <w:r w:rsidRPr="006D2D9D">
        <w:rPr>
          <w:sz w:val="24"/>
          <w:szCs w:val="24"/>
        </w:rPr>
        <w:t>Felit</w:t>
      </w:r>
      <w:proofErr w:type="spellEnd"/>
      <w:r w:rsidRPr="006D2D9D">
        <w:rPr>
          <w:sz w:val="24"/>
          <w:szCs w:val="24"/>
        </w:rPr>
        <w:t xml:space="preserve"> </w:t>
      </w:r>
      <w:proofErr w:type="spellStart"/>
      <w:r w:rsidRPr="006D2D9D">
        <w:rPr>
          <w:sz w:val="24"/>
          <w:szCs w:val="24"/>
        </w:rPr>
        <w:t>Gursu</w:t>
      </w:r>
      <w:proofErr w:type="spellEnd"/>
      <w:r w:rsidRPr="006D2D9D">
        <w:rPr>
          <w:sz w:val="24"/>
          <w:szCs w:val="24"/>
        </w:rPr>
        <w:t xml:space="preserve"> M (2002) Effects of certain micronutrients and melatonin on plasma lipid peroxidation and homocysteine levels in rats. Arch Med Res 33: 515 – 519.</w:t>
      </w:r>
    </w:p>
    <w:p w:rsidR="00DE185D" w:rsidRPr="00DE185D" w:rsidRDefault="00DE185D" w:rsidP="00DE185D">
      <w:pPr>
        <w:rPr>
          <w:rFonts w:ascii="Times New Roman" w:hAnsi="Times New Roman" w:cs="Times New Roman"/>
          <w:b/>
          <w:sz w:val="28"/>
          <w:szCs w:val="28"/>
          <w:vertAlign w:val="superscript"/>
        </w:rPr>
      </w:pPr>
    </w:p>
    <w:sectPr w:rsidR="00DE185D" w:rsidRPr="00DE185D" w:rsidSect="0002122A">
      <w:headerReference w:type="default" r:id="rId9"/>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96" w:rsidRDefault="00984796" w:rsidP="0002122A">
      <w:pPr>
        <w:spacing w:after="0" w:line="240" w:lineRule="auto"/>
      </w:pPr>
      <w:r>
        <w:separator/>
      </w:r>
    </w:p>
  </w:endnote>
  <w:endnote w:type="continuationSeparator" w:id="0">
    <w:p w:rsidR="00984796" w:rsidRDefault="00984796" w:rsidP="0002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96" w:rsidRDefault="00984796" w:rsidP="0002122A">
      <w:pPr>
        <w:spacing w:after="0" w:line="240" w:lineRule="auto"/>
      </w:pPr>
      <w:r>
        <w:separator/>
      </w:r>
    </w:p>
  </w:footnote>
  <w:footnote w:type="continuationSeparator" w:id="0">
    <w:p w:rsidR="00984796" w:rsidRDefault="00984796" w:rsidP="00021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2A" w:rsidRDefault="0002122A" w:rsidP="0002122A">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17FF"/>
    <w:multiLevelType w:val="hybridMultilevel"/>
    <w:tmpl w:val="8664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D7730"/>
    <w:rsid w:val="0000054E"/>
    <w:rsid w:val="0002122A"/>
    <w:rsid w:val="00024ECC"/>
    <w:rsid w:val="00061169"/>
    <w:rsid w:val="000611D6"/>
    <w:rsid w:val="00067ED4"/>
    <w:rsid w:val="000727ED"/>
    <w:rsid w:val="00087FF8"/>
    <w:rsid w:val="000B5E7A"/>
    <w:rsid w:val="000D0665"/>
    <w:rsid w:val="000D4CBE"/>
    <w:rsid w:val="000E3637"/>
    <w:rsid w:val="000F5B94"/>
    <w:rsid w:val="0010044F"/>
    <w:rsid w:val="0010690D"/>
    <w:rsid w:val="00117DBF"/>
    <w:rsid w:val="0015124E"/>
    <w:rsid w:val="00156003"/>
    <w:rsid w:val="00164471"/>
    <w:rsid w:val="00176903"/>
    <w:rsid w:val="0018615A"/>
    <w:rsid w:val="001C6899"/>
    <w:rsid w:val="001D0380"/>
    <w:rsid w:val="001E050E"/>
    <w:rsid w:val="001E130F"/>
    <w:rsid w:val="002023A4"/>
    <w:rsid w:val="00204CE5"/>
    <w:rsid w:val="0026545A"/>
    <w:rsid w:val="002B68EE"/>
    <w:rsid w:val="002D60D5"/>
    <w:rsid w:val="002D751E"/>
    <w:rsid w:val="002E38CE"/>
    <w:rsid w:val="002F2C44"/>
    <w:rsid w:val="003122D6"/>
    <w:rsid w:val="003124E9"/>
    <w:rsid w:val="00316F14"/>
    <w:rsid w:val="0035092C"/>
    <w:rsid w:val="00361DB4"/>
    <w:rsid w:val="00364A12"/>
    <w:rsid w:val="0038149A"/>
    <w:rsid w:val="003D2D81"/>
    <w:rsid w:val="003E1B0E"/>
    <w:rsid w:val="003F4EAE"/>
    <w:rsid w:val="0042383F"/>
    <w:rsid w:val="004365AF"/>
    <w:rsid w:val="0044206F"/>
    <w:rsid w:val="00442A97"/>
    <w:rsid w:val="004457DC"/>
    <w:rsid w:val="00455C40"/>
    <w:rsid w:val="00463289"/>
    <w:rsid w:val="00483C36"/>
    <w:rsid w:val="00484046"/>
    <w:rsid w:val="00484898"/>
    <w:rsid w:val="00486B11"/>
    <w:rsid w:val="004952CC"/>
    <w:rsid w:val="004C09EE"/>
    <w:rsid w:val="004C599C"/>
    <w:rsid w:val="004C722E"/>
    <w:rsid w:val="004E5D53"/>
    <w:rsid w:val="00511EC4"/>
    <w:rsid w:val="00523DDC"/>
    <w:rsid w:val="005437B0"/>
    <w:rsid w:val="00573211"/>
    <w:rsid w:val="005B73D0"/>
    <w:rsid w:val="005C776E"/>
    <w:rsid w:val="005D218E"/>
    <w:rsid w:val="005E72A3"/>
    <w:rsid w:val="0060035E"/>
    <w:rsid w:val="006011A7"/>
    <w:rsid w:val="00606427"/>
    <w:rsid w:val="00622DA2"/>
    <w:rsid w:val="006762B7"/>
    <w:rsid w:val="006A4535"/>
    <w:rsid w:val="006D220C"/>
    <w:rsid w:val="006D2D9D"/>
    <w:rsid w:val="006D65E7"/>
    <w:rsid w:val="006F7D5D"/>
    <w:rsid w:val="00700FF0"/>
    <w:rsid w:val="00727617"/>
    <w:rsid w:val="007632AE"/>
    <w:rsid w:val="00773622"/>
    <w:rsid w:val="007A67F6"/>
    <w:rsid w:val="007B7ABB"/>
    <w:rsid w:val="00810BAE"/>
    <w:rsid w:val="00833E8A"/>
    <w:rsid w:val="008345F4"/>
    <w:rsid w:val="00836B2E"/>
    <w:rsid w:val="00836D3E"/>
    <w:rsid w:val="00847FBB"/>
    <w:rsid w:val="00852233"/>
    <w:rsid w:val="00854323"/>
    <w:rsid w:val="0089315D"/>
    <w:rsid w:val="008A44E8"/>
    <w:rsid w:val="008B316B"/>
    <w:rsid w:val="008B5658"/>
    <w:rsid w:val="008D387A"/>
    <w:rsid w:val="00984796"/>
    <w:rsid w:val="00991DD1"/>
    <w:rsid w:val="0099790B"/>
    <w:rsid w:val="009A0AE2"/>
    <w:rsid w:val="009A16D4"/>
    <w:rsid w:val="009F0C83"/>
    <w:rsid w:val="00A17452"/>
    <w:rsid w:val="00A22397"/>
    <w:rsid w:val="00A3060C"/>
    <w:rsid w:val="00A311D8"/>
    <w:rsid w:val="00A33FBB"/>
    <w:rsid w:val="00A71B84"/>
    <w:rsid w:val="00A722DF"/>
    <w:rsid w:val="00AA70B1"/>
    <w:rsid w:val="00AB0A9A"/>
    <w:rsid w:val="00AB6032"/>
    <w:rsid w:val="00AC3868"/>
    <w:rsid w:val="00AE023E"/>
    <w:rsid w:val="00AE3B4B"/>
    <w:rsid w:val="00B060AD"/>
    <w:rsid w:val="00B12AE1"/>
    <w:rsid w:val="00B15DA4"/>
    <w:rsid w:val="00B16763"/>
    <w:rsid w:val="00B259BB"/>
    <w:rsid w:val="00B3254B"/>
    <w:rsid w:val="00B41077"/>
    <w:rsid w:val="00B57872"/>
    <w:rsid w:val="00B62416"/>
    <w:rsid w:val="00B66A35"/>
    <w:rsid w:val="00BB4B43"/>
    <w:rsid w:val="00BD775A"/>
    <w:rsid w:val="00BF63F5"/>
    <w:rsid w:val="00C0408C"/>
    <w:rsid w:val="00C33335"/>
    <w:rsid w:val="00C676BF"/>
    <w:rsid w:val="00C944A8"/>
    <w:rsid w:val="00CC755B"/>
    <w:rsid w:val="00CE1776"/>
    <w:rsid w:val="00D141C1"/>
    <w:rsid w:val="00D16745"/>
    <w:rsid w:val="00D2789B"/>
    <w:rsid w:val="00D37A06"/>
    <w:rsid w:val="00D8092A"/>
    <w:rsid w:val="00D8567D"/>
    <w:rsid w:val="00D86043"/>
    <w:rsid w:val="00D92AEC"/>
    <w:rsid w:val="00D93417"/>
    <w:rsid w:val="00DB3C14"/>
    <w:rsid w:val="00DC57DC"/>
    <w:rsid w:val="00DD7730"/>
    <w:rsid w:val="00DE185D"/>
    <w:rsid w:val="00DE49F4"/>
    <w:rsid w:val="00E06773"/>
    <w:rsid w:val="00E419E6"/>
    <w:rsid w:val="00E71D17"/>
    <w:rsid w:val="00E87D0D"/>
    <w:rsid w:val="00ED11C6"/>
    <w:rsid w:val="00ED3FD9"/>
    <w:rsid w:val="00ED5C27"/>
    <w:rsid w:val="00EE1C84"/>
    <w:rsid w:val="00EE5FF4"/>
    <w:rsid w:val="00F370F0"/>
    <w:rsid w:val="00F43871"/>
    <w:rsid w:val="00F60F8A"/>
    <w:rsid w:val="00F86C89"/>
    <w:rsid w:val="00F94FD9"/>
    <w:rsid w:val="00FA130A"/>
    <w:rsid w:val="00FA586B"/>
    <w:rsid w:val="00F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730"/>
    <w:pPr>
      <w:ind w:left="720"/>
      <w:contextualSpacing/>
    </w:pPr>
  </w:style>
  <w:style w:type="table" w:styleId="TableGrid">
    <w:name w:val="Table Grid"/>
    <w:basedOn w:val="TableNormal"/>
    <w:uiPriority w:val="59"/>
    <w:rsid w:val="00CC75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212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22A"/>
  </w:style>
  <w:style w:type="paragraph" w:styleId="Footer">
    <w:name w:val="footer"/>
    <w:basedOn w:val="Normal"/>
    <w:link w:val="FooterChar"/>
    <w:uiPriority w:val="99"/>
    <w:semiHidden/>
    <w:unhideWhenUsed/>
    <w:rsid w:val="000212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122A"/>
  </w:style>
  <w:style w:type="character" w:styleId="PlaceholderText">
    <w:name w:val="Placeholder Text"/>
    <w:basedOn w:val="DefaultParagraphFont"/>
    <w:uiPriority w:val="99"/>
    <w:semiHidden/>
    <w:rsid w:val="000F5B94"/>
    <w:rPr>
      <w:color w:val="808080"/>
    </w:rPr>
  </w:style>
  <w:style w:type="paragraph" w:styleId="BalloonText">
    <w:name w:val="Balloon Text"/>
    <w:basedOn w:val="Normal"/>
    <w:link w:val="BalloonTextChar"/>
    <w:uiPriority w:val="99"/>
    <w:semiHidden/>
    <w:unhideWhenUsed/>
    <w:rsid w:val="000F5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1CE8-DEB8-4FE0-89E5-DF89685E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Rajeshkumar, Barur</cp:lastModifiedBy>
  <cp:revision>10</cp:revision>
  <dcterms:created xsi:type="dcterms:W3CDTF">2015-03-15T16:46:00Z</dcterms:created>
  <dcterms:modified xsi:type="dcterms:W3CDTF">2015-03-17T17:25:00Z</dcterms:modified>
</cp:coreProperties>
</file>